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65" w:rsidRDefault="00CD6056" w:rsidP="006E4E14">
      <w:pPr>
        <w:pStyle w:val="Heading1"/>
      </w:pPr>
      <w:r>
        <w:t>ICPC Requests for Group Care</w:t>
      </w:r>
    </w:p>
    <w:p w:rsidR="008F7C5E" w:rsidRPr="008F7C5E" w:rsidRDefault="008F7C5E" w:rsidP="00C52658">
      <w:pPr>
        <w:rPr>
          <w:i/>
        </w:rPr>
      </w:pPr>
      <w:r w:rsidRPr="008F7C5E">
        <w:rPr>
          <w:i/>
        </w:rPr>
        <w:t xml:space="preserve">Note:  This guide only outlines </w:t>
      </w:r>
      <w:r>
        <w:rPr>
          <w:i/>
        </w:rPr>
        <w:t xml:space="preserve">the places </w:t>
      </w:r>
      <w:r w:rsidRPr="008F7C5E">
        <w:rPr>
          <w:i/>
        </w:rPr>
        <w:t xml:space="preserve">where the group care ICPC process deviates from the standard ICPC process.  Make sure that you already know the </w:t>
      </w:r>
      <w:r w:rsidR="00235B70">
        <w:rPr>
          <w:i/>
        </w:rPr>
        <w:t>standard</w:t>
      </w:r>
      <w:r w:rsidRPr="008F7C5E">
        <w:rPr>
          <w:i/>
        </w:rPr>
        <w:t xml:space="preserve"> ICPC </w:t>
      </w:r>
      <w:r w:rsidR="00235B70">
        <w:rPr>
          <w:i/>
        </w:rPr>
        <w:t>process, or follow along in the ICPC e-learning</w:t>
      </w:r>
      <w:r w:rsidRPr="008F7C5E">
        <w:rPr>
          <w:i/>
        </w:rPr>
        <w:t xml:space="preserve"> as you use this guide.</w:t>
      </w:r>
    </w:p>
    <w:p w:rsidR="00723D14" w:rsidRDefault="00723D14" w:rsidP="00723D14">
      <w:pPr>
        <w:pStyle w:val="Heading2"/>
      </w:pPr>
      <w:r>
        <w:t>Out-of-State ICPC Placements</w:t>
      </w:r>
    </w:p>
    <w:p w:rsidR="00723D14" w:rsidRDefault="00723D14" w:rsidP="00723D14">
      <w:pPr>
        <w:pStyle w:val="Heading4"/>
      </w:pPr>
      <w:r>
        <w:t>ICPC Requests &amp; Approvals</w:t>
      </w:r>
    </w:p>
    <w:p w:rsidR="00C52658" w:rsidRPr="009F2AF7" w:rsidRDefault="00C52658" w:rsidP="00C52658">
      <w:r w:rsidRPr="009F2AF7">
        <w:t xml:space="preserve">An ICPC request </w:t>
      </w:r>
      <w:r w:rsidR="005B58F2">
        <w:t xml:space="preserve">and signed 100A </w:t>
      </w:r>
      <w:r w:rsidR="00235B70">
        <w:t>are</w:t>
      </w:r>
      <w:r w:rsidRPr="009F2AF7">
        <w:t xml:space="preserve"> required prior t</w:t>
      </w:r>
      <w:r w:rsidR="002F1883">
        <w:t xml:space="preserve">o sending a dependent child out </w:t>
      </w:r>
      <w:r w:rsidRPr="009F2AF7">
        <w:t>of</w:t>
      </w:r>
      <w:r w:rsidR="002F1883">
        <w:t xml:space="preserve"> </w:t>
      </w:r>
      <w:bookmarkStart w:id="0" w:name="_GoBack"/>
      <w:r w:rsidRPr="009F2AF7">
        <w:t>state</w:t>
      </w:r>
      <w:bookmarkEnd w:id="0"/>
      <w:r w:rsidRPr="009F2AF7">
        <w:t xml:space="preserve"> for a group care </w:t>
      </w:r>
      <w:r w:rsidR="00235B70">
        <w:t>placement</w:t>
      </w:r>
      <w:r w:rsidRPr="009F2AF7">
        <w:t xml:space="preserve">, </w:t>
      </w:r>
      <w:r w:rsidR="00235B70">
        <w:t>but</w:t>
      </w:r>
      <w:r w:rsidRPr="009F2AF7">
        <w:t xml:space="preserve"> an approved home study is </w:t>
      </w:r>
      <w:r w:rsidR="00BC485A">
        <w:rPr>
          <w:i/>
        </w:rPr>
        <w:t>not</w:t>
      </w:r>
      <w:r w:rsidRPr="009F2AF7">
        <w:t xml:space="preserve"> required.</w:t>
      </w:r>
    </w:p>
    <w:p w:rsidR="00C52658" w:rsidRDefault="00C52658" w:rsidP="00C52658">
      <w:r>
        <w:t>Submission of the 100B initiate</w:t>
      </w:r>
      <w:r w:rsidR="00332420">
        <w:t>s</w:t>
      </w:r>
      <w:r>
        <w:t xml:space="preserve"> basic medical coverage, but </w:t>
      </w:r>
      <w:r w:rsidRPr="00332420">
        <w:rPr>
          <w:i/>
        </w:rPr>
        <w:t>not</w:t>
      </w:r>
      <w:r>
        <w:t xml:space="preserve"> courtesy supervisio</w:t>
      </w:r>
      <w:r w:rsidR="001A4B38">
        <w:t>n or access to other services.</w:t>
      </w:r>
    </w:p>
    <w:p w:rsidR="00723D14" w:rsidRDefault="00723D14" w:rsidP="00723D14">
      <w:pPr>
        <w:pStyle w:val="Heading4"/>
      </w:pPr>
      <w:r>
        <w:t>ICPC Referral Packet</w:t>
      </w:r>
    </w:p>
    <w:p w:rsidR="00C52658" w:rsidRDefault="00C52658" w:rsidP="00867B2E">
      <w:pPr>
        <w:rPr>
          <w:sz w:val="24"/>
          <w:szCs w:val="24"/>
        </w:rPr>
      </w:pPr>
      <w:r>
        <w:t>The ICPC Referral Pa</w:t>
      </w:r>
      <w:r w:rsidR="00867B2E">
        <w:t xml:space="preserve">cket for a group </w:t>
      </w:r>
      <w:r>
        <w:t>care request</w:t>
      </w:r>
      <w:r w:rsidR="00346A04">
        <w:t xml:space="preserve"> only requires one copy of each document, included in</w:t>
      </w:r>
      <w:r w:rsidR="00867B2E">
        <w:t xml:space="preserve"> the following</w:t>
      </w:r>
      <w:r w:rsidR="00346A04">
        <w:t xml:space="preserve"> order</w:t>
      </w:r>
      <w:r w:rsidR="00867B2E">
        <w:t>:</w:t>
      </w:r>
    </w:p>
    <w:p w:rsidR="00C52658" w:rsidRDefault="00867B2E" w:rsidP="00C52658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52658">
        <w:rPr>
          <w:sz w:val="24"/>
          <w:szCs w:val="24"/>
        </w:rPr>
        <w:t>100A form</w:t>
      </w:r>
    </w:p>
    <w:p w:rsidR="00C52658" w:rsidRDefault="00867B2E" w:rsidP="00C52658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 c</w:t>
      </w:r>
      <w:r w:rsidR="00C52658">
        <w:rPr>
          <w:sz w:val="24"/>
          <w:szCs w:val="24"/>
        </w:rPr>
        <w:t xml:space="preserve">over </w:t>
      </w:r>
      <w:r>
        <w:rPr>
          <w:sz w:val="24"/>
          <w:szCs w:val="24"/>
        </w:rPr>
        <w:t>l</w:t>
      </w:r>
      <w:r w:rsidR="00C52658">
        <w:rPr>
          <w:sz w:val="24"/>
          <w:szCs w:val="24"/>
        </w:rPr>
        <w:t>etter</w:t>
      </w:r>
      <w:r>
        <w:rPr>
          <w:sz w:val="24"/>
          <w:szCs w:val="24"/>
        </w:rPr>
        <w:t xml:space="preserve"> that</w:t>
      </w:r>
    </w:p>
    <w:p w:rsidR="00C52658" w:rsidRDefault="00867B2E" w:rsidP="00C52658">
      <w:pPr>
        <w:pStyle w:val="ListParagraph"/>
        <w:numPr>
          <w:ilvl w:val="1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Identifies the </w:t>
      </w:r>
      <w:r w:rsidR="00C52658">
        <w:rPr>
          <w:sz w:val="24"/>
          <w:szCs w:val="24"/>
        </w:rPr>
        <w:t>needs</w:t>
      </w:r>
      <w:r>
        <w:rPr>
          <w:sz w:val="24"/>
          <w:szCs w:val="24"/>
        </w:rPr>
        <w:t xml:space="preserve"> of the child/youth</w:t>
      </w:r>
    </w:p>
    <w:p w:rsidR="00C52658" w:rsidRDefault="00867B2E" w:rsidP="00C52658">
      <w:pPr>
        <w:pStyle w:val="ListParagraph"/>
        <w:numPr>
          <w:ilvl w:val="1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Indicates</w:t>
      </w:r>
      <w:r w:rsidR="00C52658">
        <w:rPr>
          <w:sz w:val="24"/>
          <w:szCs w:val="24"/>
        </w:rPr>
        <w:t xml:space="preserve"> how and why those needs cannot be met in Washington State</w:t>
      </w:r>
    </w:p>
    <w:p w:rsidR="00C52658" w:rsidRDefault="00867B2E" w:rsidP="00C52658">
      <w:pPr>
        <w:pStyle w:val="ListParagraph"/>
        <w:numPr>
          <w:ilvl w:val="1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States that</w:t>
      </w:r>
      <w:r w:rsidR="00C52658">
        <w:rPr>
          <w:sz w:val="24"/>
          <w:szCs w:val="24"/>
        </w:rPr>
        <w:t xml:space="preserve"> if the placement disrupts, the </w:t>
      </w:r>
      <w:r>
        <w:rPr>
          <w:sz w:val="24"/>
          <w:szCs w:val="24"/>
        </w:rPr>
        <w:t>assigned</w:t>
      </w:r>
      <w:r w:rsidR="00C52658">
        <w:rPr>
          <w:sz w:val="24"/>
          <w:szCs w:val="24"/>
        </w:rPr>
        <w:t xml:space="preserve"> Washington State Worker</w:t>
      </w:r>
      <w:r>
        <w:rPr>
          <w:sz w:val="24"/>
          <w:szCs w:val="24"/>
        </w:rPr>
        <w:t>/Office will return the child/</w:t>
      </w:r>
      <w:r w:rsidR="00C52658">
        <w:rPr>
          <w:sz w:val="24"/>
          <w:szCs w:val="24"/>
        </w:rPr>
        <w:t>youth to Washington within 5 days</w:t>
      </w:r>
    </w:p>
    <w:p w:rsidR="00C52658" w:rsidRDefault="00867B2E" w:rsidP="00C52658">
      <w:pPr>
        <w:pStyle w:val="ListParagraph"/>
        <w:numPr>
          <w:ilvl w:val="1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Describes</w:t>
      </w:r>
      <w:r w:rsidR="00C52658">
        <w:rPr>
          <w:sz w:val="24"/>
          <w:szCs w:val="24"/>
        </w:rPr>
        <w:t xml:space="preserve"> the financial/medical plan</w:t>
      </w:r>
    </w:p>
    <w:p w:rsidR="00C52658" w:rsidRDefault="00867B2E" w:rsidP="00C52658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An a</w:t>
      </w:r>
      <w:r w:rsidR="00C52658">
        <w:rPr>
          <w:sz w:val="24"/>
          <w:szCs w:val="24"/>
        </w:rPr>
        <w:t xml:space="preserve">cceptance letter/email from the </w:t>
      </w:r>
      <w:r>
        <w:rPr>
          <w:sz w:val="24"/>
          <w:szCs w:val="24"/>
        </w:rPr>
        <w:t>group care facility</w:t>
      </w:r>
    </w:p>
    <w:p w:rsidR="00084754" w:rsidRPr="00867B2E" w:rsidRDefault="00867B2E" w:rsidP="00867B2E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3B688E" w:rsidRPr="00867B2E">
        <w:rPr>
          <w:sz w:val="24"/>
          <w:szCs w:val="24"/>
        </w:rPr>
        <w:t>he most recent</w:t>
      </w:r>
      <w:r>
        <w:rPr>
          <w:sz w:val="24"/>
          <w:szCs w:val="24"/>
        </w:rPr>
        <w:t xml:space="preserve"> court order</w:t>
      </w:r>
    </w:p>
    <w:p w:rsidR="00867B2E" w:rsidRDefault="00867B2E" w:rsidP="00867B2E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Pr="00867B2E">
        <w:rPr>
          <w:sz w:val="24"/>
          <w:szCs w:val="24"/>
        </w:rPr>
        <w:t>he most recent court report</w:t>
      </w:r>
    </w:p>
    <w:p w:rsidR="004C2635" w:rsidRPr="00867B2E" w:rsidRDefault="00867B2E" w:rsidP="00867B2E">
      <w:r>
        <w:t>The ICPC Referral Packet can be scanned as one</w:t>
      </w:r>
      <w:r w:rsidR="004C2635">
        <w:t xml:space="preserve"> document</w:t>
      </w:r>
      <w:r>
        <w:t xml:space="preserve"> and emailed </w:t>
      </w:r>
      <w:r w:rsidR="004C2635">
        <w:t>to the ge</w:t>
      </w:r>
      <w:r>
        <w:t>neral Headquarters ICPC mailbox</w:t>
      </w:r>
      <w:r w:rsidR="004C2635">
        <w:t xml:space="preserve"> </w:t>
      </w:r>
      <w:proofErr w:type="gramStart"/>
      <w:r>
        <w:t xml:space="preserve">( </w:t>
      </w:r>
      <w:proofErr w:type="gramEnd"/>
      <w:hyperlink r:id="rId8" w:history="1">
        <w:r w:rsidRPr="00B25436">
          <w:rPr>
            <w:rStyle w:val="Hyperlink"/>
          </w:rPr>
          <w:t>WAICPC@dshs.wa.gov</w:t>
        </w:r>
      </w:hyperlink>
      <w:r>
        <w:t xml:space="preserve"> ).  </w:t>
      </w:r>
      <w:r w:rsidRPr="00867B2E">
        <w:t>N</w:t>
      </w:r>
      <w:r w:rsidR="004C2635" w:rsidRPr="00867B2E">
        <w:t>ote that only</w:t>
      </w:r>
      <w:r w:rsidRPr="00867B2E">
        <w:t xml:space="preserve"> group </w:t>
      </w:r>
      <w:r w:rsidR="004C2635" w:rsidRPr="00867B2E">
        <w:t>care requests may be scanned and emailed.</w:t>
      </w:r>
    </w:p>
    <w:p w:rsidR="004C2635" w:rsidRDefault="004C2635" w:rsidP="004C2635">
      <w:r>
        <w:t>The receiving state has 3 days to approve the request</w:t>
      </w:r>
      <w:r w:rsidR="00346A04">
        <w:t xml:space="preserve"> sent by Headquarters ICPC</w:t>
      </w:r>
      <w:r>
        <w:t>.</w:t>
      </w:r>
    </w:p>
    <w:p w:rsidR="00723D14" w:rsidRDefault="00723D14" w:rsidP="00723D14">
      <w:pPr>
        <w:pStyle w:val="Heading4"/>
      </w:pPr>
      <w:r>
        <w:t>Managing an ICPC Case</w:t>
      </w:r>
    </w:p>
    <w:p w:rsidR="003404A7" w:rsidRDefault="00867B2E" w:rsidP="00C52658">
      <w:r>
        <w:t xml:space="preserve">In the case of group care, there is no assigned Worker in the receiving state, and there is no courtesy supervision.  </w:t>
      </w:r>
      <w:r w:rsidR="001A4B38">
        <w:t>Y</w:t>
      </w:r>
      <w:r w:rsidR="001A4B38">
        <w:rPr>
          <w:bCs/>
        </w:rPr>
        <w:t xml:space="preserve">ou </w:t>
      </w:r>
      <w:r w:rsidR="001A4B38" w:rsidRPr="009F2AF7">
        <w:rPr>
          <w:bCs/>
        </w:rPr>
        <w:t xml:space="preserve">need to </w:t>
      </w:r>
      <w:r w:rsidR="00305ABB">
        <w:rPr>
          <w:bCs/>
        </w:rPr>
        <w:t xml:space="preserve">make arrangements for your monthly Health and Safety Visits either with the group care facility, or </w:t>
      </w:r>
      <w:r w:rsidR="003404A7">
        <w:rPr>
          <w:bCs/>
        </w:rPr>
        <w:t>by</w:t>
      </w:r>
      <w:r w:rsidR="00305ABB">
        <w:rPr>
          <w:bCs/>
        </w:rPr>
        <w:t xml:space="preserve"> </w:t>
      </w:r>
      <w:r w:rsidR="001A4B38" w:rsidRPr="009F2AF7">
        <w:rPr>
          <w:bCs/>
        </w:rPr>
        <w:t>contract</w:t>
      </w:r>
      <w:r w:rsidR="00305ABB">
        <w:rPr>
          <w:bCs/>
        </w:rPr>
        <w:t>ing</w:t>
      </w:r>
      <w:r w:rsidR="001A4B38" w:rsidRPr="009F2AF7">
        <w:rPr>
          <w:bCs/>
        </w:rPr>
        <w:t xml:space="preserve"> with a private agency</w:t>
      </w:r>
      <w:r w:rsidR="00305ABB">
        <w:rPr>
          <w:rStyle w:val="CommentReference"/>
        </w:rPr>
        <w:t xml:space="preserve">. </w:t>
      </w:r>
      <w:r w:rsidR="00305ABB">
        <w:rPr>
          <w:bCs/>
        </w:rPr>
        <w:t xml:space="preserve"> </w:t>
      </w:r>
      <w:r w:rsidR="001A4B38" w:rsidRPr="00857D77">
        <w:t>H</w:t>
      </w:r>
      <w:r w:rsidR="001A4B38">
        <w:t>owever, H</w:t>
      </w:r>
      <w:r w:rsidR="001A4B38" w:rsidRPr="00857D77">
        <w:t xml:space="preserve">ealth and Safety Visits for </w:t>
      </w:r>
      <w:r w:rsidR="001A4B38">
        <w:t xml:space="preserve">group care </w:t>
      </w:r>
      <w:r w:rsidR="001A4B38" w:rsidRPr="00857D77">
        <w:t xml:space="preserve">placements within 50 miles of the </w:t>
      </w:r>
      <w:r w:rsidR="001A4B38">
        <w:t xml:space="preserve">Washington State </w:t>
      </w:r>
      <w:r w:rsidR="001A4B38" w:rsidRPr="00857D77">
        <w:t>border may be completed by a Washington State Worker</w:t>
      </w:r>
      <w:r>
        <w:t>.</w:t>
      </w:r>
      <w:r w:rsidR="003404A7">
        <w:t xml:space="preserve">  </w:t>
      </w:r>
      <w:r w:rsidR="00305ABB">
        <w:rPr>
          <w:bCs/>
        </w:rPr>
        <w:t>You will also need to contract for any other services the youth may need, which are not</w:t>
      </w:r>
      <w:r w:rsidR="003404A7">
        <w:rPr>
          <w:bCs/>
        </w:rPr>
        <w:t xml:space="preserve"> directly provided by the group </w:t>
      </w:r>
      <w:r w:rsidR="00305ABB">
        <w:rPr>
          <w:bCs/>
        </w:rPr>
        <w:t>care facility.</w:t>
      </w:r>
    </w:p>
    <w:p w:rsidR="00C52658" w:rsidRDefault="00C16237" w:rsidP="00C52658">
      <w:r>
        <w:lastRenderedPageBreak/>
        <w:t>Since there is no assigned Worker in the receiving state, you</w:t>
      </w:r>
      <w:r w:rsidR="00305ABB">
        <w:t xml:space="preserve"> will not receive</w:t>
      </w:r>
      <w:r>
        <w:t xml:space="preserve"> Quarterly Supervision Reports.  However, </w:t>
      </w:r>
      <w:r w:rsidR="00305ABB">
        <w:t xml:space="preserve">you will receive reports </w:t>
      </w:r>
      <w:r>
        <w:t xml:space="preserve">from the group care facility, </w:t>
      </w:r>
      <w:r w:rsidR="00305ABB">
        <w:t xml:space="preserve">consistent with the </w:t>
      </w:r>
      <w:r w:rsidR="003404A7">
        <w:t>facility’s</w:t>
      </w:r>
      <w:r w:rsidR="00305ABB">
        <w:t xml:space="preserve"> reporting p</w:t>
      </w:r>
      <w:r w:rsidR="003404A7">
        <w:t>rocess.</w:t>
      </w:r>
      <w:r>
        <w:t xml:space="preserve"> </w:t>
      </w:r>
      <w:r w:rsidR="003404A7">
        <w:t xml:space="preserve"> For example, some group </w:t>
      </w:r>
      <w:r w:rsidR="00305ABB">
        <w:t xml:space="preserve">care facilities </w:t>
      </w:r>
      <w:r w:rsidR="003404A7">
        <w:t xml:space="preserve">provide </w:t>
      </w:r>
      <w:r w:rsidR="00305ABB">
        <w:t>a monthly report.</w:t>
      </w:r>
    </w:p>
    <w:p w:rsidR="00723D14" w:rsidRDefault="00723D14" w:rsidP="00723D14">
      <w:pPr>
        <w:pStyle w:val="Heading4"/>
      </w:pPr>
      <w:r>
        <w:t>Closing an ICPC Case</w:t>
      </w:r>
    </w:p>
    <w:p w:rsidR="001E2A04" w:rsidRPr="00305ABB" w:rsidRDefault="00EB6A4F" w:rsidP="00305ABB">
      <w:r>
        <w:t>You</w:t>
      </w:r>
      <w:r w:rsidR="00235B70">
        <w:t xml:space="preserve"> must also send the 100B form when the child completes treatment or returns to Washington State so both state’s ICPC Administrators can close the ICPC file on the child/youth.</w:t>
      </w:r>
    </w:p>
    <w:sectPr w:rsidR="001E2A04" w:rsidRPr="00305ABB" w:rsidSect="005F5E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BD" w:rsidRDefault="007038BD" w:rsidP="005F5EA0">
      <w:pPr>
        <w:spacing w:after="0" w:line="240" w:lineRule="auto"/>
      </w:pPr>
      <w:r>
        <w:separator/>
      </w:r>
    </w:p>
  </w:endnote>
  <w:endnote w:type="continuationSeparator" w:id="0">
    <w:p w:rsidR="007038BD" w:rsidRDefault="007038BD" w:rsidP="005F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BD" w:rsidRDefault="007038BD" w:rsidP="005F5EA0">
      <w:pPr>
        <w:spacing w:after="0" w:line="240" w:lineRule="auto"/>
      </w:pPr>
      <w:r>
        <w:separator/>
      </w:r>
    </w:p>
  </w:footnote>
  <w:footnote w:type="continuationSeparator" w:id="0">
    <w:p w:rsidR="007038BD" w:rsidRDefault="007038BD" w:rsidP="005F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A0" w:rsidRDefault="005F5EA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5E5ABE" wp14:editId="0CCBE47F">
          <wp:simplePos x="0" y="0"/>
          <wp:positionH relativeFrom="column">
            <wp:posOffset>-648970</wp:posOffset>
          </wp:positionH>
          <wp:positionV relativeFrom="paragraph">
            <wp:posOffset>-346710</wp:posOffset>
          </wp:positionV>
          <wp:extent cx="1223319" cy="6921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319" cy="69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EA0" w:rsidRDefault="005F5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43C"/>
    <w:multiLevelType w:val="hybridMultilevel"/>
    <w:tmpl w:val="8362ECA6"/>
    <w:lvl w:ilvl="0" w:tplc="9F02B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34A6"/>
    <w:multiLevelType w:val="hybridMultilevel"/>
    <w:tmpl w:val="6568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65412"/>
    <w:multiLevelType w:val="hybridMultilevel"/>
    <w:tmpl w:val="F4B6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F43B5"/>
    <w:multiLevelType w:val="hybridMultilevel"/>
    <w:tmpl w:val="6C24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B2806"/>
    <w:multiLevelType w:val="hybridMultilevel"/>
    <w:tmpl w:val="6CBE1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2F13"/>
    <w:multiLevelType w:val="hybridMultilevel"/>
    <w:tmpl w:val="43CC5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6B19CB"/>
    <w:multiLevelType w:val="hybridMultilevel"/>
    <w:tmpl w:val="5824C3E4"/>
    <w:lvl w:ilvl="0" w:tplc="AC920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8A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6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5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F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6F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A3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0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AF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63"/>
    <w:rsid w:val="000465F0"/>
    <w:rsid w:val="00084754"/>
    <w:rsid w:val="00112C2E"/>
    <w:rsid w:val="001A4B38"/>
    <w:rsid w:val="001B0287"/>
    <w:rsid w:val="001B1BCD"/>
    <w:rsid w:val="001E2A04"/>
    <w:rsid w:val="00235B70"/>
    <w:rsid w:val="00287AE9"/>
    <w:rsid w:val="002C76D0"/>
    <w:rsid w:val="002C7E14"/>
    <w:rsid w:val="002F1883"/>
    <w:rsid w:val="00305ABB"/>
    <w:rsid w:val="00332420"/>
    <w:rsid w:val="003404A7"/>
    <w:rsid w:val="00346A04"/>
    <w:rsid w:val="003B688E"/>
    <w:rsid w:val="004338A1"/>
    <w:rsid w:val="00464163"/>
    <w:rsid w:val="00486451"/>
    <w:rsid w:val="004B6339"/>
    <w:rsid w:val="004C2635"/>
    <w:rsid w:val="004D1949"/>
    <w:rsid w:val="00577774"/>
    <w:rsid w:val="005B58F2"/>
    <w:rsid w:val="005C4E65"/>
    <w:rsid w:val="005E5A41"/>
    <w:rsid w:val="005F5EA0"/>
    <w:rsid w:val="006221CE"/>
    <w:rsid w:val="006E4E14"/>
    <w:rsid w:val="007038BD"/>
    <w:rsid w:val="007215C0"/>
    <w:rsid w:val="00723D14"/>
    <w:rsid w:val="00730469"/>
    <w:rsid w:val="007774D8"/>
    <w:rsid w:val="0081164D"/>
    <w:rsid w:val="00857D77"/>
    <w:rsid w:val="00867B2E"/>
    <w:rsid w:val="008F3E9D"/>
    <w:rsid w:val="008F7C5E"/>
    <w:rsid w:val="0095389C"/>
    <w:rsid w:val="009C620D"/>
    <w:rsid w:val="00A21DFC"/>
    <w:rsid w:val="00A42D1F"/>
    <w:rsid w:val="00A875C7"/>
    <w:rsid w:val="00B071BB"/>
    <w:rsid w:val="00BC485A"/>
    <w:rsid w:val="00C16237"/>
    <w:rsid w:val="00C52658"/>
    <w:rsid w:val="00CD6056"/>
    <w:rsid w:val="00DB20BB"/>
    <w:rsid w:val="00E87B14"/>
    <w:rsid w:val="00EB6A4F"/>
    <w:rsid w:val="00EF57D8"/>
    <w:rsid w:val="00F766E1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D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A0"/>
  </w:style>
  <w:style w:type="paragraph" w:styleId="Footer">
    <w:name w:val="footer"/>
    <w:basedOn w:val="Normal"/>
    <w:link w:val="FooterChar"/>
    <w:uiPriority w:val="99"/>
    <w:unhideWhenUsed/>
    <w:rsid w:val="005F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A0"/>
  </w:style>
  <w:style w:type="paragraph" w:styleId="BalloonText">
    <w:name w:val="Balloon Text"/>
    <w:basedOn w:val="Normal"/>
    <w:link w:val="BalloonTextChar"/>
    <w:uiPriority w:val="99"/>
    <w:semiHidden/>
    <w:unhideWhenUsed/>
    <w:rsid w:val="005F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5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C7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E1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23D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3D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67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D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A0"/>
  </w:style>
  <w:style w:type="paragraph" w:styleId="Footer">
    <w:name w:val="footer"/>
    <w:basedOn w:val="Normal"/>
    <w:link w:val="FooterChar"/>
    <w:uiPriority w:val="99"/>
    <w:unhideWhenUsed/>
    <w:rsid w:val="005F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A0"/>
  </w:style>
  <w:style w:type="paragraph" w:styleId="BalloonText">
    <w:name w:val="Balloon Text"/>
    <w:basedOn w:val="Normal"/>
    <w:link w:val="BalloonTextChar"/>
    <w:uiPriority w:val="99"/>
    <w:semiHidden/>
    <w:unhideWhenUsed/>
    <w:rsid w:val="005F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5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C7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E1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23D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3D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67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2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ICPC@dshs.w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Copeland</dc:creator>
  <cp:lastModifiedBy>Catherine Porter</cp:lastModifiedBy>
  <cp:revision>7</cp:revision>
  <dcterms:created xsi:type="dcterms:W3CDTF">2015-06-24T17:13:00Z</dcterms:created>
  <dcterms:modified xsi:type="dcterms:W3CDTF">2015-07-27T20:28:00Z</dcterms:modified>
</cp:coreProperties>
</file>