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F2" w:rsidRDefault="005C03F2">
      <w:pPr>
        <w:pStyle w:val="Title"/>
      </w:pPr>
      <w:r w:rsidRPr="0055788E">
        <w:t xml:space="preserve">Disciplinary </w:t>
      </w:r>
      <w:r w:rsidR="00D003ED">
        <w:t>Commons</w:t>
      </w:r>
      <w:r w:rsidR="0055788E">
        <w:t xml:space="preserve">: </w:t>
      </w:r>
      <w:r w:rsidR="00B44FB7">
        <w:t xml:space="preserve">Brief Summary </w:t>
      </w:r>
    </w:p>
    <w:p w:rsidR="0055788E" w:rsidRPr="0055788E" w:rsidRDefault="0055788E" w:rsidP="0055788E">
      <w:pPr>
        <w:pStyle w:val="Author"/>
        <w:rPr>
          <w:sz w:val="24"/>
          <w:szCs w:val="24"/>
        </w:rPr>
      </w:pPr>
      <w:r w:rsidRPr="0055788E">
        <w:rPr>
          <w:sz w:val="24"/>
          <w:szCs w:val="24"/>
        </w:rPr>
        <w:t>Angela Davis-Unger a</w:t>
      </w:r>
      <w:r>
        <w:rPr>
          <w:sz w:val="24"/>
          <w:szCs w:val="24"/>
        </w:rPr>
        <w:t>nd Bayta L. Maring</w:t>
      </w:r>
      <w:r>
        <w:rPr>
          <w:sz w:val="24"/>
          <w:szCs w:val="24"/>
        </w:rPr>
        <w:br/>
        <w:t>April 2009</w:t>
      </w:r>
    </w:p>
    <w:p w:rsidR="0055788E" w:rsidRDefault="0055788E" w:rsidP="0055788E">
      <w:pPr>
        <w:pStyle w:val="Heading1"/>
      </w:pPr>
      <w:r>
        <w:t>background</w:t>
      </w:r>
    </w:p>
    <w:p w:rsidR="00237944" w:rsidRPr="00F23FFC" w:rsidRDefault="005C03F2" w:rsidP="002F0835">
      <w:pPr>
        <w:pStyle w:val="BodyText"/>
      </w:pPr>
      <w:r>
        <w:rPr>
          <w:i/>
        </w:rPr>
        <w:t xml:space="preserve">Disciplinary </w:t>
      </w:r>
      <w:r w:rsidR="00D003ED">
        <w:rPr>
          <w:i/>
        </w:rPr>
        <w:t>Commons</w:t>
      </w:r>
      <w:r>
        <w:t xml:space="preserve"> is an NSF-funded project designed to encourage educators within the field of computing science to reflect together about their teaching practices, develop a community, and, more broadly, to become more scholarly about their teaching.  </w:t>
      </w:r>
    </w:p>
    <w:p w:rsidR="005C03F2" w:rsidRDefault="005C03F2">
      <w:pPr>
        <w:pStyle w:val="BodyText"/>
      </w:pPr>
      <w:r>
        <w:t xml:space="preserve">In monthly half-day meetings, educators teaching the same class (but perhaps at different institutions) met over the course of one academic year to develop a course-specific portfolio and to discuss a teaching- topics </w:t>
      </w:r>
      <w:r w:rsidR="00B1533C">
        <w:t>s</w:t>
      </w:r>
      <w:r>
        <w:t>pecific</w:t>
      </w:r>
      <w:r w:rsidR="00B1533C">
        <w:t xml:space="preserve"> to the discipline of</w:t>
      </w:r>
      <w:r>
        <w:t xml:space="preserve"> computing education.</w:t>
      </w:r>
    </w:p>
    <w:p w:rsidR="00F23FFC" w:rsidRDefault="005C03F2">
      <w:pPr>
        <w:pStyle w:val="BodyText"/>
      </w:pPr>
      <w:r>
        <w:t xml:space="preserve">The first iteration of the project has been completed, with two </w:t>
      </w:r>
      <w:r>
        <w:rPr>
          <w:i/>
        </w:rPr>
        <w:t xml:space="preserve">Disciplinary </w:t>
      </w:r>
      <w:r w:rsidR="00D003ED">
        <w:rPr>
          <w:i/>
        </w:rPr>
        <w:t>Commons</w:t>
      </w:r>
      <w:r>
        <w:rPr>
          <w:i/>
        </w:rPr>
        <w:t xml:space="preserve"> </w:t>
      </w:r>
      <w:r>
        <w:t>held during the 2005-2006 academic year (one in the Puget Sound regio</w:t>
      </w:r>
      <w:r w:rsidR="00237944">
        <w:t>n of the U.S. and one in the U.K</w:t>
      </w:r>
      <w:r>
        <w:t>.)</w:t>
      </w:r>
      <w:r w:rsidR="0055788E">
        <w:t xml:space="preserve">.  </w:t>
      </w:r>
      <w:r>
        <w:t>NSF has provided support for another iteration</w:t>
      </w:r>
      <w:r w:rsidR="00054B41">
        <w:t xml:space="preserve"> of the project</w:t>
      </w:r>
      <w:r>
        <w:t xml:space="preserve"> in a different region of the U.S. during the 2009-2010 academic year to pilot broader dissemination of this program.</w:t>
      </w:r>
      <w:r w:rsidR="0055788E">
        <w:t xml:space="preserve"> </w:t>
      </w:r>
    </w:p>
    <w:p w:rsidR="005C03F2" w:rsidRDefault="0055788E">
      <w:pPr>
        <w:pStyle w:val="BodyText"/>
      </w:pPr>
      <w:r>
        <w:t xml:space="preserve">The </w:t>
      </w:r>
      <w:r w:rsidR="005C03F2">
        <w:t xml:space="preserve">University of Washington’s Office of Educational Assessment (OEA) </w:t>
      </w:r>
      <w:r w:rsidR="00F23FFC">
        <w:t xml:space="preserve">has been contracted to provide evaluation services that will lead to the development of a sustainable evaluation program </w:t>
      </w:r>
      <w:r w:rsidR="005C03F2">
        <w:t xml:space="preserve">that could be piloted in 2009-2010 and incorporated into </w:t>
      </w:r>
      <w:r w:rsidR="005C03F2">
        <w:rPr>
          <w:i/>
        </w:rPr>
        <w:t xml:space="preserve">Disciplinary </w:t>
      </w:r>
      <w:r w:rsidR="00D003ED">
        <w:rPr>
          <w:i/>
        </w:rPr>
        <w:t>Commons</w:t>
      </w:r>
      <w:r w:rsidR="005C03F2">
        <w:t xml:space="preserve"> as it is used more broadl</w:t>
      </w:r>
      <w:r w:rsidR="00F23FFC">
        <w:t>y throughout the U.S. and U.K.</w:t>
      </w:r>
    </w:p>
    <w:p w:rsidR="00237944" w:rsidRDefault="00237944" w:rsidP="00237944">
      <w:pPr>
        <w:pStyle w:val="Heading1"/>
      </w:pPr>
      <w:r>
        <w:t>methods</w:t>
      </w:r>
    </w:p>
    <w:p w:rsidR="00A57092" w:rsidRDefault="003E6CD2" w:rsidP="008477C5">
      <w:pPr>
        <w:pStyle w:val="BodyText"/>
      </w:pPr>
      <w:r>
        <w:t xml:space="preserve">In </w:t>
      </w:r>
      <w:r w:rsidR="001F22AC">
        <w:t>the first</w:t>
      </w:r>
      <w:r>
        <w:t xml:space="preserve"> iteration of this pro</w:t>
      </w:r>
      <w:r w:rsidR="006E27F9">
        <w:t>ject</w:t>
      </w:r>
      <w:r>
        <w:t xml:space="preserve">, nine </w:t>
      </w:r>
      <w:r w:rsidR="000C3ECB">
        <w:t>participants</w:t>
      </w:r>
      <w:r w:rsidR="006E27F9">
        <w:t xml:space="preserve"> were interviewed at</w:t>
      </w:r>
      <w:r>
        <w:t xml:space="preserve"> the conclusion of the program and </w:t>
      </w:r>
      <w:r w:rsidR="00847B82">
        <w:t>22</w:t>
      </w:r>
      <w:r w:rsidR="009D063A">
        <w:t xml:space="preserve"> </w:t>
      </w:r>
      <w:r w:rsidR="000C3ECB">
        <w:t>participants</w:t>
      </w:r>
      <w:r w:rsidR="00847B82">
        <w:t xml:space="preserve"> </w:t>
      </w:r>
      <w:r w:rsidR="009D063A">
        <w:t xml:space="preserve">completed </w:t>
      </w:r>
      <w:r>
        <w:t xml:space="preserve">a brief, end-of-program survey.   Although researchers on the project have already analyzed these data, </w:t>
      </w:r>
      <w:r w:rsidR="001F22AC">
        <w:t>this report provides</w:t>
      </w:r>
      <w:r>
        <w:t xml:space="preserve"> a secondary, evaluation-focused written summary of the interviews and surveys, specifically addressing program outcomes and goals.</w:t>
      </w:r>
      <w:r w:rsidR="00A57092">
        <w:t xml:space="preserve">  </w:t>
      </w:r>
    </w:p>
    <w:p w:rsidR="00A306AC" w:rsidRDefault="00A306AC" w:rsidP="008477C5">
      <w:pPr>
        <w:pStyle w:val="BodyText"/>
        <w:rPr>
          <w:i/>
        </w:rPr>
      </w:pPr>
      <w:r>
        <w:t xml:space="preserve">This analysis is organized according to three </w:t>
      </w:r>
      <w:r w:rsidR="009D063A">
        <w:t xml:space="preserve">main </w:t>
      </w:r>
      <w:r w:rsidR="00A5188A">
        <w:t>topics</w:t>
      </w:r>
      <w:r>
        <w:t>:</w:t>
      </w:r>
      <w:r w:rsidR="00A57092">
        <w:t xml:space="preserve"> </w:t>
      </w:r>
      <w:r w:rsidR="008C18BD">
        <w:t xml:space="preserve">1) Participant beliefs about the </w:t>
      </w:r>
      <w:r w:rsidR="008C18BD" w:rsidRPr="008C18BD">
        <w:rPr>
          <w:i/>
        </w:rPr>
        <w:t xml:space="preserve">Disciplinary </w:t>
      </w:r>
      <w:r w:rsidR="00D003ED">
        <w:rPr>
          <w:i/>
        </w:rPr>
        <w:t>Commons</w:t>
      </w:r>
      <w:r w:rsidR="008C18BD">
        <w:t xml:space="preserve"> as a whole; 2) </w:t>
      </w:r>
      <w:r w:rsidR="00490754">
        <w:t xml:space="preserve">Participant </w:t>
      </w:r>
      <w:r w:rsidR="008C18BD">
        <w:t xml:space="preserve">perceptions of </w:t>
      </w:r>
      <w:r w:rsidR="00B06655">
        <w:t xml:space="preserve">the portfolio; </w:t>
      </w:r>
      <w:r w:rsidR="008C18BD">
        <w:t>and</w:t>
      </w:r>
      <w:r w:rsidR="000C3ECB">
        <w:t>,</w:t>
      </w:r>
      <w:r w:rsidR="008C18BD">
        <w:t xml:space="preserve"> 3) </w:t>
      </w:r>
      <w:r w:rsidR="00490754">
        <w:t>Participant</w:t>
      </w:r>
      <w:r w:rsidR="008C18BD">
        <w:t xml:space="preserve"> responses to whether or not they will make changes to </w:t>
      </w:r>
      <w:r w:rsidR="006E27F9">
        <w:t xml:space="preserve">how they design, approach, or teach </w:t>
      </w:r>
      <w:r w:rsidR="008C18BD">
        <w:t xml:space="preserve">a course as a result of </w:t>
      </w:r>
      <w:r w:rsidR="001F22AC">
        <w:t>their participation in the program.</w:t>
      </w:r>
    </w:p>
    <w:p w:rsidR="003E6CD2" w:rsidRDefault="00146F2C" w:rsidP="00A306AC">
      <w:pPr>
        <w:pStyle w:val="Heading2"/>
      </w:pPr>
      <w:r>
        <w:t xml:space="preserve"> </w:t>
      </w:r>
      <w:r w:rsidR="00A306AC">
        <w:t>Participant beliefs about the program as a whole</w:t>
      </w:r>
    </w:p>
    <w:p w:rsidR="00A306AC" w:rsidRDefault="00A306AC" w:rsidP="00F65833">
      <w:pPr>
        <w:pStyle w:val="BodyText"/>
        <w:numPr>
          <w:ilvl w:val="0"/>
          <w:numId w:val="12"/>
        </w:numPr>
        <w:rPr>
          <w:u w:val="single"/>
        </w:rPr>
      </w:pPr>
      <w:r w:rsidRPr="00A306AC">
        <w:rPr>
          <w:u w:val="single"/>
        </w:rPr>
        <w:t xml:space="preserve">What are your overall impressions about the </w:t>
      </w:r>
      <w:r w:rsidR="00D003ED" w:rsidRPr="008326DF">
        <w:rPr>
          <w:i/>
          <w:u w:val="single"/>
        </w:rPr>
        <w:t>Disciplinary Commons</w:t>
      </w:r>
      <w:r w:rsidR="00490754">
        <w:rPr>
          <w:i/>
          <w:u w:val="single"/>
        </w:rPr>
        <w:t>?</w:t>
      </w:r>
    </w:p>
    <w:p w:rsidR="00C90CD3" w:rsidRDefault="00EA6D77" w:rsidP="00A306AC">
      <w:pPr>
        <w:pStyle w:val="BodyText"/>
      </w:pPr>
      <w:r>
        <w:t>In response to this general question</w:t>
      </w:r>
      <w:r w:rsidR="00D10824">
        <w:t xml:space="preserve">, </w:t>
      </w:r>
      <w:r w:rsidR="000C3ECB">
        <w:t>participants</w:t>
      </w:r>
      <w:r w:rsidR="00817990">
        <w:t xml:space="preserve"> </w:t>
      </w:r>
      <w:r w:rsidR="00A306AC">
        <w:t>were overwhelmingly positive</w:t>
      </w:r>
      <w:r w:rsidR="00D10824">
        <w:t>,</w:t>
      </w:r>
      <w:r w:rsidR="00A306AC">
        <w:t xml:space="preserve"> describing </w:t>
      </w:r>
      <w:r w:rsidR="001F22AC">
        <w:t>their experience</w:t>
      </w:r>
      <w:r w:rsidR="00A306AC">
        <w:t xml:space="preserve"> as “fantastic,” “enriching,”</w:t>
      </w:r>
      <w:r w:rsidR="006C33F3">
        <w:t xml:space="preserve"> </w:t>
      </w:r>
      <w:r w:rsidR="00817990">
        <w:t xml:space="preserve">and </w:t>
      </w:r>
      <w:r w:rsidR="000416E1">
        <w:t>“</w:t>
      </w:r>
      <w:r w:rsidR="00817990">
        <w:t>extremely useful</w:t>
      </w:r>
      <w:r>
        <w:t xml:space="preserve">.” </w:t>
      </w:r>
      <w:r w:rsidR="00DE43D4">
        <w:t>O</w:t>
      </w:r>
      <w:r w:rsidR="000E3C40">
        <w:t xml:space="preserve">n the post-workshop survey, </w:t>
      </w:r>
      <w:r w:rsidR="00AD02A3">
        <w:t xml:space="preserve">all </w:t>
      </w:r>
      <w:r w:rsidR="00DE43D4">
        <w:t>respondents</w:t>
      </w:r>
      <w:r w:rsidR="004611A3">
        <w:t xml:space="preserve"> </w:t>
      </w:r>
      <w:r w:rsidR="00DE43D4">
        <w:t xml:space="preserve">strongly agreed or agreed that the </w:t>
      </w:r>
      <w:r w:rsidR="00A5188A" w:rsidRPr="00A5188A">
        <w:t>program</w:t>
      </w:r>
      <w:r w:rsidR="00DE43D4">
        <w:rPr>
          <w:i/>
        </w:rPr>
        <w:t xml:space="preserve"> </w:t>
      </w:r>
      <w:r w:rsidR="00DE43D4">
        <w:t>was a good use of their time and they woul</w:t>
      </w:r>
      <w:r w:rsidR="00AD02A3">
        <w:t xml:space="preserve">d recommend it to colleagues.  Overall, </w:t>
      </w:r>
      <w:r w:rsidR="004611A3">
        <w:t>p</w:t>
      </w:r>
      <w:r w:rsidR="000C3ECB">
        <w:t>articipants</w:t>
      </w:r>
      <w:r w:rsidR="00817990">
        <w:t xml:space="preserve"> </w:t>
      </w:r>
      <w:r w:rsidR="001F22AC">
        <w:t xml:space="preserve">commented that the </w:t>
      </w:r>
      <w:r w:rsidR="00D003ED" w:rsidRPr="008326DF">
        <w:rPr>
          <w:i/>
        </w:rPr>
        <w:t>Disciplinary Commons</w:t>
      </w:r>
      <w:r w:rsidR="00490754">
        <w:t xml:space="preserve"> provided a </w:t>
      </w:r>
      <w:r w:rsidR="001F22AC">
        <w:t>collegial</w:t>
      </w:r>
      <w:r w:rsidR="00490754">
        <w:t xml:space="preserve"> and</w:t>
      </w:r>
      <w:r w:rsidR="001F22AC">
        <w:t xml:space="preserve"> </w:t>
      </w:r>
      <w:r w:rsidR="00490754">
        <w:t xml:space="preserve">intellectually stimulating </w:t>
      </w:r>
      <w:r w:rsidR="001F22AC">
        <w:t xml:space="preserve">community </w:t>
      </w:r>
      <w:r w:rsidR="00C90CD3">
        <w:t xml:space="preserve">to discuss issues surrounding the teaching of </w:t>
      </w:r>
      <w:r w:rsidR="00754520">
        <w:t>Computer Science</w:t>
      </w:r>
      <w:r w:rsidR="00C90CD3">
        <w:t>.</w:t>
      </w:r>
    </w:p>
    <w:p w:rsidR="00763F6D" w:rsidRDefault="006A6377" w:rsidP="00A306AC">
      <w:pPr>
        <w:pStyle w:val="BodyText"/>
      </w:pPr>
      <w:r>
        <w:t>O</w:t>
      </w:r>
      <w:r w:rsidR="00763F6D">
        <w:t>ne participant</w:t>
      </w:r>
      <w:r w:rsidR="006C102A">
        <w:t xml:space="preserve"> un</w:t>
      </w:r>
      <w:r w:rsidR="00CB5ACC">
        <w:t>der</w:t>
      </w:r>
      <w:r w:rsidR="006C102A">
        <w:t>scored</w:t>
      </w:r>
      <w:r>
        <w:t xml:space="preserve"> the </w:t>
      </w:r>
      <w:r w:rsidR="003E09BD">
        <w:t>value of</w:t>
      </w:r>
      <w:r>
        <w:t xml:space="preserve"> the </w:t>
      </w:r>
      <w:r w:rsidR="00D003ED" w:rsidRPr="008326DF">
        <w:rPr>
          <w:i/>
        </w:rPr>
        <w:t>Disciplinary Commons</w:t>
      </w:r>
      <w:r w:rsidR="001B4653">
        <w:rPr>
          <w:i/>
        </w:rPr>
        <w:t xml:space="preserve"> </w:t>
      </w:r>
      <w:r w:rsidR="001B4653" w:rsidRPr="001B4653">
        <w:t>community</w:t>
      </w:r>
      <w:r w:rsidR="006C102A">
        <w:t>, stating:</w:t>
      </w:r>
    </w:p>
    <w:p w:rsidR="00763F6D" w:rsidRDefault="006A6377" w:rsidP="00763F6D">
      <w:pPr>
        <w:pStyle w:val="BodyText"/>
        <w:ind w:left="720"/>
        <w:rPr>
          <w:i/>
        </w:rPr>
      </w:pPr>
      <w:r>
        <w:rPr>
          <w:i/>
        </w:rPr>
        <w:lastRenderedPageBreak/>
        <w:t>Teaching is such a lonely job, really.  If you’re on your own in a classroom with a group of students you don’t necessarily know what your colleagues teach or how they teach…we don’t really have forums for discussing our teaching and comparing it.</w:t>
      </w:r>
    </w:p>
    <w:p w:rsidR="00942214" w:rsidRDefault="00942214" w:rsidP="00CB5ACC">
      <w:pPr>
        <w:pStyle w:val="BodyText"/>
      </w:pPr>
      <w:r>
        <w:t xml:space="preserve">Several </w:t>
      </w:r>
      <w:r w:rsidR="000C3ECB">
        <w:t>participants</w:t>
      </w:r>
      <w:r>
        <w:t xml:space="preserve"> </w:t>
      </w:r>
      <w:r w:rsidR="001B4653">
        <w:t>mentioned</w:t>
      </w:r>
      <w:r>
        <w:t xml:space="preserve"> that the </w:t>
      </w:r>
      <w:r w:rsidR="00D003ED" w:rsidRPr="008326DF">
        <w:rPr>
          <w:i/>
        </w:rPr>
        <w:t>Disciplinary Commons</w:t>
      </w:r>
      <w:r>
        <w:t xml:space="preserve"> experience </w:t>
      </w:r>
      <w:r w:rsidR="00B61BF1">
        <w:t>forced them to go</w:t>
      </w:r>
      <w:r>
        <w:t xml:space="preserve"> </w:t>
      </w:r>
      <w:r w:rsidR="00C24819">
        <w:t>“</w:t>
      </w:r>
      <w:r w:rsidR="00B61BF1">
        <w:t>back to basics</w:t>
      </w:r>
      <w:r>
        <w:t xml:space="preserve">” </w:t>
      </w:r>
      <w:r w:rsidR="00B61BF1">
        <w:t>and</w:t>
      </w:r>
      <w:r w:rsidR="001B4653">
        <w:t xml:space="preserve"> make thei</w:t>
      </w:r>
      <w:r w:rsidR="00B61BF1">
        <w:t xml:space="preserve">r teaching philosophy explicit by </w:t>
      </w:r>
      <w:r>
        <w:t>critically examine their teaching methods.</w:t>
      </w:r>
      <w:r w:rsidR="00BE5A30">
        <w:t xml:space="preserve">  The exercise also enabled</w:t>
      </w:r>
      <w:r w:rsidR="002051EE">
        <w:t xml:space="preserve"> </w:t>
      </w:r>
      <w:r w:rsidR="000C3ECB">
        <w:t>participants</w:t>
      </w:r>
      <w:r w:rsidR="002051EE">
        <w:t xml:space="preserve"> to </w:t>
      </w:r>
      <w:r w:rsidR="00BE5A30">
        <w:t>“</w:t>
      </w:r>
      <w:r w:rsidR="002051EE">
        <w:t>gain</w:t>
      </w:r>
      <w:r w:rsidR="00BE5A30">
        <w:t xml:space="preserve"> </w:t>
      </w:r>
      <w:r w:rsidR="000C2C4E">
        <w:t>insight into how others think,”</w:t>
      </w:r>
      <w:r w:rsidR="00D70965">
        <w:t xml:space="preserve"> sometimes gleaning</w:t>
      </w:r>
      <w:r w:rsidR="000C2C4E">
        <w:t xml:space="preserve"> new approaches and other times validating their own teaching methods by </w:t>
      </w:r>
      <w:r w:rsidR="003E09BD">
        <w:t>learning that others approach</w:t>
      </w:r>
      <w:r w:rsidR="000C2C4E">
        <w:t xml:space="preserve"> the subject in similar ways.</w:t>
      </w:r>
      <w:r w:rsidR="007E2F8E">
        <w:t xml:space="preserve">  Commenting on the impact of the </w:t>
      </w:r>
      <w:r w:rsidR="007E2F8E" w:rsidRPr="008326DF">
        <w:rPr>
          <w:i/>
        </w:rPr>
        <w:t>Disciplinary Commons</w:t>
      </w:r>
      <w:r w:rsidR="007E2F8E">
        <w:rPr>
          <w:i/>
        </w:rPr>
        <w:t xml:space="preserve">, </w:t>
      </w:r>
      <w:r w:rsidR="007E2F8E">
        <w:t>one participant said:</w:t>
      </w:r>
    </w:p>
    <w:p w:rsidR="007E2F8E" w:rsidRPr="007E2F8E" w:rsidRDefault="00BE5A30" w:rsidP="007E2F8E">
      <w:pPr>
        <w:pStyle w:val="BodyText"/>
        <w:ind w:left="720"/>
        <w:rPr>
          <w:i/>
        </w:rPr>
      </w:pPr>
      <w:r>
        <w:rPr>
          <w:i/>
        </w:rPr>
        <w:t xml:space="preserve">It </w:t>
      </w:r>
      <w:r w:rsidR="007E2F8E" w:rsidRPr="007E2F8E">
        <w:rPr>
          <w:i/>
        </w:rPr>
        <w:t>has brought a vibrancy to my teaching.  Perhaps “life” is a better term.  I was in danger of just going through the motions.  [It is] hard to pin down all of the ways participation has had an effect- growing self-confidence, hints and tips, grand ideas, areas of development, incentive to read more literature on teaching.</w:t>
      </w:r>
    </w:p>
    <w:p w:rsidR="00EA6D77" w:rsidRDefault="00EA6D77" w:rsidP="00A306AC">
      <w:pPr>
        <w:pStyle w:val="BodyText"/>
      </w:pPr>
      <w:r>
        <w:t xml:space="preserve">While </w:t>
      </w:r>
      <w:r w:rsidR="00BE5A30">
        <w:t>most responses were</w:t>
      </w:r>
      <w:r>
        <w:t xml:space="preserve"> positive, </w:t>
      </w:r>
      <w:r w:rsidR="00B0669E">
        <w:t xml:space="preserve">one participant felt that she/he didn’t have much to contribute given </w:t>
      </w:r>
      <w:r w:rsidR="003E09BD">
        <w:t>a</w:t>
      </w:r>
      <w:r w:rsidR="00B0669E">
        <w:t xml:space="preserve"> </w:t>
      </w:r>
      <w:r w:rsidR="003E09BD">
        <w:t>“</w:t>
      </w:r>
      <w:r w:rsidR="00B0669E">
        <w:t>lack of experience</w:t>
      </w:r>
      <w:r w:rsidR="003E09BD">
        <w:t>”</w:t>
      </w:r>
      <w:r w:rsidR="00B0669E">
        <w:t xml:space="preserve"> whereas another participant reported that she/he offered more than she/he was able to take</w:t>
      </w:r>
      <w:r w:rsidR="00614111">
        <w:t xml:space="preserve"> because </w:t>
      </w:r>
      <w:r w:rsidR="003E09BD">
        <w:t xml:space="preserve">of </w:t>
      </w:r>
      <w:r w:rsidR="00BE5A30">
        <w:t xml:space="preserve">extensive </w:t>
      </w:r>
      <w:r w:rsidR="00614111">
        <w:t>pr</w:t>
      </w:r>
      <w:r w:rsidR="00526242">
        <w:t>ior</w:t>
      </w:r>
      <w:r w:rsidR="00614111">
        <w:t xml:space="preserve"> involvement in </w:t>
      </w:r>
      <w:r w:rsidR="00BE5A30">
        <w:t>issues surrounding the</w:t>
      </w:r>
      <w:r w:rsidR="00614111">
        <w:t xml:space="preserve"> Schol</w:t>
      </w:r>
      <w:r w:rsidR="00CE5E35">
        <w:t>arship of Teaching and Learning.</w:t>
      </w:r>
    </w:p>
    <w:p w:rsidR="00B65159" w:rsidRDefault="00B65159" w:rsidP="00F65833">
      <w:pPr>
        <w:pStyle w:val="BodyText"/>
        <w:numPr>
          <w:ilvl w:val="0"/>
          <w:numId w:val="12"/>
        </w:numPr>
        <w:rPr>
          <w:u w:val="single"/>
        </w:rPr>
      </w:pPr>
      <w:r>
        <w:rPr>
          <w:u w:val="single"/>
        </w:rPr>
        <w:t>What was the best thing about t</w:t>
      </w:r>
      <w:r w:rsidR="00257097">
        <w:rPr>
          <w:u w:val="single"/>
        </w:rPr>
        <w:t xml:space="preserve">he </w:t>
      </w:r>
      <w:r w:rsidR="00D003ED" w:rsidRPr="008326DF">
        <w:rPr>
          <w:i/>
          <w:u w:val="single"/>
        </w:rPr>
        <w:t>Disciplinary Commons</w:t>
      </w:r>
      <w:r w:rsidR="00257097">
        <w:rPr>
          <w:u w:val="single"/>
        </w:rPr>
        <w:t xml:space="preserve">? </w:t>
      </w:r>
    </w:p>
    <w:p w:rsidR="00B1533C" w:rsidRDefault="005158BD" w:rsidP="00B65159">
      <w:pPr>
        <w:pStyle w:val="BodyText"/>
      </w:pPr>
      <w:r>
        <w:t xml:space="preserve">When asked what the best thing about the </w:t>
      </w:r>
      <w:r w:rsidR="00D003ED" w:rsidRPr="008326DF">
        <w:rPr>
          <w:i/>
        </w:rPr>
        <w:t>Disciplinary Commons</w:t>
      </w:r>
      <w:r>
        <w:t xml:space="preserve"> was, </w:t>
      </w:r>
      <w:r w:rsidR="000C3ECB">
        <w:t>participants</w:t>
      </w:r>
      <w:r w:rsidR="00C84956">
        <w:t xml:space="preserve"> </w:t>
      </w:r>
      <w:r>
        <w:t>overwhelmingly cited the</w:t>
      </w:r>
      <w:r w:rsidR="00D70965">
        <w:t xml:space="preserve"> opportunity to be a part of a</w:t>
      </w:r>
      <w:r>
        <w:t xml:space="preserve"> “community” </w:t>
      </w:r>
      <w:r w:rsidR="00007024">
        <w:t xml:space="preserve">of </w:t>
      </w:r>
      <w:r w:rsidR="00D70965">
        <w:t xml:space="preserve">like-minded </w:t>
      </w:r>
      <w:r w:rsidR="00754520">
        <w:t>Computer Science</w:t>
      </w:r>
      <w:r w:rsidR="00D70965">
        <w:t xml:space="preserve"> teachers.  </w:t>
      </w:r>
      <w:r w:rsidR="00BE5A30">
        <w:t xml:space="preserve">Reflecting this sentiment, </w:t>
      </w:r>
      <w:r w:rsidR="001E72C1">
        <w:t>survey respondents</w:t>
      </w:r>
      <w:r w:rsidR="004611A3">
        <w:t xml:space="preserve"> </w:t>
      </w:r>
      <w:r w:rsidR="001E72C1">
        <w:t xml:space="preserve">were most likely to choose “getting to know other teachers who care about teaching issues” as the most valuable part of the </w:t>
      </w:r>
      <w:r w:rsidR="001E72C1" w:rsidRPr="008326DF">
        <w:rPr>
          <w:i/>
        </w:rPr>
        <w:t>Disciplinary Common</w:t>
      </w:r>
      <w:r w:rsidR="00361BAF">
        <w:rPr>
          <w:i/>
        </w:rPr>
        <w:t>s</w:t>
      </w:r>
      <w:r w:rsidR="008E1290">
        <w:t>, followed by “coming to meetings</w:t>
      </w:r>
      <w:r w:rsidR="00361BAF">
        <w:rPr>
          <w:i/>
        </w:rPr>
        <w:t>.</w:t>
      </w:r>
      <w:r w:rsidR="00676755">
        <w:rPr>
          <w:i/>
        </w:rPr>
        <w:t>”</w:t>
      </w:r>
      <w:r w:rsidR="00361BAF">
        <w:rPr>
          <w:i/>
        </w:rPr>
        <w:t xml:space="preserve">  </w:t>
      </w:r>
      <w:r w:rsidR="00361BAF">
        <w:t xml:space="preserve">Moreover, </w:t>
      </w:r>
      <w:r w:rsidR="00BE5A30">
        <w:t>all participant</w:t>
      </w:r>
      <w:r w:rsidR="00960B54">
        <w:t xml:space="preserve">s </w:t>
      </w:r>
      <w:r w:rsidR="00025674">
        <w:t xml:space="preserve">agreed or </w:t>
      </w:r>
      <w:r w:rsidR="00960B54">
        <w:t>strongly agreed that they felt</w:t>
      </w:r>
      <w:r w:rsidR="00BE5A30">
        <w:t xml:space="preserve"> </w:t>
      </w:r>
      <w:r w:rsidR="00960B54">
        <w:t>“</w:t>
      </w:r>
      <w:r w:rsidR="00BE5A30">
        <w:t>connected</w:t>
      </w:r>
      <w:r w:rsidR="00960B54">
        <w:t>”</w:t>
      </w:r>
      <w:r w:rsidR="00BE5A30">
        <w:t xml:space="preserve"> to a network of people in their area who are interested in teaching</w:t>
      </w:r>
      <w:r w:rsidR="001E72C1">
        <w:t xml:space="preserve">.  </w:t>
      </w:r>
      <w:r w:rsidR="00676755">
        <w:t>Qualitative responses revealed that n</w:t>
      </w:r>
      <w:r w:rsidR="00B51506">
        <w:t xml:space="preserve">ot only did </w:t>
      </w:r>
      <w:r w:rsidR="000C3ECB">
        <w:t>participants</w:t>
      </w:r>
      <w:r w:rsidR="00242888">
        <w:t xml:space="preserve"> </w:t>
      </w:r>
      <w:r w:rsidR="00676755">
        <w:t xml:space="preserve">form friendships, </w:t>
      </w:r>
      <w:r w:rsidR="00B51506">
        <w:t xml:space="preserve">there was also talk of possible collaboration in the future.  </w:t>
      </w:r>
    </w:p>
    <w:p w:rsidR="00B65159" w:rsidRDefault="00960B54" w:rsidP="00B65159">
      <w:pPr>
        <w:pStyle w:val="BodyText"/>
      </w:pPr>
      <w:r>
        <w:t>S</w:t>
      </w:r>
      <w:r w:rsidR="005F2F07">
        <w:t xml:space="preserve">everal </w:t>
      </w:r>
      <w:r w:rsidR="000C3ECB">
        <w:t>participants</w:t>
      </w:r>
      <w:r w:rsidR="005F2F07">
        <w:t xml:space="preserve"> </w:t>
      </w:r>
      <w:r>
        <w:t xml:space="preserve">also </w:t>
      </w:r>
      <w:r w:rsidR="005F2F07">
        <w:t xml:space="preserve">commented on the diverse group of people who took part in the </w:t>
      </w:r>
      <w:r w:rsidR="00F346CD" w:rsidRPr="008326DF">
        <w:rPr>
          <w:i/>
        </w:rPr>
        <w:t>Disciplinary Commons</w:t>
      </w:r>
      <w:r w:rsidR="00F346CD">
        <w:t xml:space="preserve"> </w:t>
      </w:r>
      <w:r w:rsidR="005F2F07">
        <w:t>i</w:t>
      </w:r>
      <w:r w:rsidR="004C61C2">
        <w:t>ncluding the integration of Community College and University professors</w:t>
      </w:r>
      <w:r w:rsidR="000B41B6">
        <w:t xml:space="preserve"> (U.S</w:t>
      </w:r>
      <w:r w:rsidR="00361BAF">
        <w:t xml:space="preserve">. </w:t>
      </w:r>
      <w:r w:rsidR="00361BAF">
        <w:rPr>
          <w:i/>
        </w:rPr>
        <w:t xml:space="preserve">Disciplinary </w:t>
      </w:r>
      <w:r w:rsidR="00361BAF" w:rsidRPr="008326DF">
        <w:rPr>
          <w:i/>
        </w:rPr>
        <w:t>Commons</w:t>
      </w:r>
      <w:r w:rsidR="000B41B6">
        <w:t>)</w:t>
      </w:r>
      <w:r w:rsidR="00361BAF">
        <w:t xml:space="preserve">. </w:t>
      </w:r>
      <w:r w:rsidR="00676755">
        <w:t xml:space="preserve">Reflecting on the value of </w:t>
      </w:r>
      <w:r w:rsidR="004C61C2">
        <w:t xml:space="preserve"> eclectic </w:t>
      </w:r>
      <w:r w:rsidR="00744C50">
        <w:t>perspectives</w:t>
      </w:r>
      <w:r w:rsidR="004C61C2">
        <w:t>, one individual stated:</w:t>
      </w:r>
    </w:p>
    <w:p w:rsidR="004C61C2" w:rsidRDefault="004C61C2" w:rsidP="004C61C2">
      <w:pPr>
        <w:pStyle w:val="BodyText"/>
        <w:ind w:left="720"/>
        <w:rPr>
          <w:i/>
        </w:rPr>
      </w:pPr>
      <w:r w:rsidRPr="004C61C2">
        <w:rPr>
          <w:i/>
        </w:rPr>
        <w:t>People had tried different things and had come from different backgrounds.  Some from industry, some are long</w:t>
      </w:r>
      <w:r w:rsidR="000B41B6">
        <w:rPr>
          <w:i/>
        </w:rPr>
        <w:t xml:space="preserve"> time teachers</w:t>
      </w:r>
      <w:r w:rsidRPr="004C61C2">
        <w:rPr>
          <w:i/>
        </w:rPr>
        <w:t>, some new teachers…Just the mix of ideas from their institutions…</w:t>
      </w:r>
    </w:p>
    <w:p w:rsidR="00007024" w:rsidRDefault="00007024" w:rsidP="00007024">
      <w:pPr>
        <w:pStyle w:val="BodyText"/>
      </w:pPr>
      <w:r>
        <w:t xml:space="preserve">Several </w:t>
      </w:r>
      <w:r w:rsidR="000C3ECB">
        <w:t>participants</w:t>
      </w:r>
      <w:r>
        <w:t xml:space="preserve"> mentioned that the “regularity” of the </w:t>
      </w:r>
      <w:r w:rsidR="00D003ED" w:rsidRPr="008326DF">
        <w:rPr>
          <w:i/>
        </w:rPr>
        <w:t>Disciplinary Commons</w:t>
      </w:r>
      <w:r>
        <w:t xml:space="preserve"> was extremely beneficial</w:t>
      </w:r>
      <w:r w:rsidR="00A13A6E">
        <w:t xml:space="preserve"> imposing a “discipline” that is difficult to maintain on one’s own</w:t>
      </w:r>
      <w:r w:rsidR="00C24819">
        <w:t xml:space="preserve"> given busy teaching schedules</w:t>
      </w:r>
      <w:r w:rsidR="00A13A6E">
        <w:t xml:space="preserve">.  </w:t>
      </w:r>
      <w:r>
        <w:t xml:space="preserve">One participant contrasted the continuity of the </w:t>
      </w:r>
      <w:r w:rsidR="00D003ED" w:rsidRPr="008326DF">
        <w:rPr>
          <w:i/>
        </w:rPr>
        <w:t>Disciplinary Commons</w:t>
      </w:r>
      <w:r>
        <w:t xml:space="preserve"> with meetings at conferences which </w:t>
      </w:r>
      <w:r w:rsidR="00C24819">
        <w:t>a</w:t>
      </w:r>
      <w:r w:rsidR="000B41B6">
        <w:t>re once a year at best</w:t>
      </w:r>
      <w:r w:rsidR="00F4156C">
        <w:t xml:space="preserve"> and do not lend themselves to intense examination of teaching methods</w:t>
      </w:r>
      <w:r w:rsidR="000B41B6">
        <w:t xml:space="preserve">.  </w:t>
      </w:r>
      <w:r>
        <w:t xml:space="preserve">Two </w:t>
      </w:r>
      <w:r w:rsidR="000C3ECB">
        <w:t>participants</w:t>
      </w:r>
      <w:r>
        <w:t xml:space="preserve"> commented that the teaching observation visits were particularly valuable and one simply valued the “time to reflect and discuss.”  Finally, one participant took this opportunity to </w:t>
      </w:r>
      <w:r w:rsidR="00F346CD">
        <w:t>praise</w:t>
      </w:r>
      <w:r>
        <w:t xml:space="preserve"> the contributions of the U.S. </w:t>
      </w:r>
      <w:r w:rsidR="00D003ED" w:rsidRPr="008326DF">
        <w:rPr>
          <w:i/>
        </w:rPr>
        <w:t>Disciplinary Commons</w:t>
      </w:r>
      <w:r>
        <w:t xml:space="preserve"> facilitator.</w:t>
      </w:r>
    </w:p>
    <w:p w:rsidR="00257097" w:rsidRDefault="00257097" w:rsidP="00F65833">
      <w:pPr>
        <w:pStyle w:val="BodyText"/>
        <w:numPr>
          <w:ilvl w:val="0"/>
          <w:numId w:val="12"/>
        </w:numPr>
        <w:rPr>
          <w:u w:val="single"/>
        </w:rPr>
      </w:pPr>
      <w:r>
        <w:rPr>
          <w:u w:val="single"/>
        </w:rPr>
        <w:t xml:space="preserve">What was the worst thing about the </w:t>
      </w:r>
      <w:r w:rsidR="00D003ED" w:rsidRPr="008326DF">
        <w:rPr>
          <w:i/>
          <w:u w:val="single"/>
        </w:rPr>
        <w:t>Disciplinary Commons</w:t>
      </w:r>
      <w:r>
        <w:rPr>
          <w:u w:val="single"/>
        </w:rPr>
        <w:t>?  What would have made it more valuable?</w:t>
      </w:r>
    </w:p>
    <w:p w:rsidR="00574D01" w:rsidRDefault="000C3ECB" w:rsidP="00007024">
      <w:pPr>
        <w:pStyle w:val="BodyText"/>
      </w:pPr>
      <w:r>
        <w:t>Participants</w:t>
      </w:r>
      <w:r w:rsidR="007325E7">
        <w:t xml:space="preserve"> were most likely to mention the significant</w:t>
      </w:r>
      <w:r w:rsidR="00395FF4">
        <w:t xml:space="preserve"> time</w:t>
      </w:r>
      <w:r w:rsidR="007325E7">
        <w:t xml:space="preserve"> commitment </w:t>
      </w:r>
      <w:r w:rsidR="00395FF4">
        <w:t>required</w:t>
      </w:r>
      <w:r w:rsidR="007325E7">
        <w:t xml:space="preserve"> to attend sessions and complete the </w:t>
      </w:r>
      <w:r w:rsidR="00391E86">
        <w:t>assignments</w:t>
      </w:r>
      <w:r w:rsidR="007325E7">
        <w:t xml:space="preserve"> given their </w:t>
      </w:r>
      <w:r w:rsidR="00395FF4">
        <w:t>already demanding teaching positions</w:t>
      </w:r>
      <w:r w:rsidR="00574D01">
        <w:t xml:space="preserve">.  </w:t>
      </w:r>
      <w:r w:rsidR="00395FF4">
        <w:t xml:space="preserve">When </w:t>
      </w:r>
      <w:r w:rsidR="00574D01">
        <w:t xml:space="preserve">attendance was not consistent and/or </w:t>
      </w:r>
      <w:r>
        <w:t>participants</w:t>
      </w:r>
      <w:r w:rsidR="00574D01">
        <w:t xml:space="preserve"> failed to complete the homework, it made it difficult for them to engage fully in the </w:t>
      </w:r>
      <w:r w:rsidR="00D003ED" w:rsidRPr="008326DF">
        <w:rPr>
          <w:i/>
        </w:rPr>
        <w:t>Disciplinary Commons</w:t>
      </w:r>
      <w:r w:rsidR="00574D01">
        <w:t xml:space="preserve"> and negatively impacted those who attended regularly</w:t>
      </w:r>
      <w:r w:rsidR="00D003ED">
        <w:t xml:space="preserve">.  </w:t>
      </w:r>
      <w:r w:rsidR="00E46E87">
        <w:t xml:space="preserve">Several </w:t>
      </w:r>
      <w:r>
        <w:t>participants</w:t>
      </w:r>
      <w:r w:rsidR="00D003ED">
        <w:t xml:space="preserve"> felt that the </w:t>
      </w:r>
      <w:r w:rsidR="00D003ED" w:rsidRPr="008326DF">
        <w:rPr>
          <w:i/>
        </w:rPr>
        <w:lastRenderedPageBreak/>
        <w:t>Disciplinary Commons</w:t>
      </w:r>
      <w:r w:rsidR="00D003ED">
        <w:t xml:space="preserve"> as a whole was too short, and one participant felt that a protracted </w:t>
      </w:r>
      <w:r w:rsidR="00D003ED" w:rsidRPr="008326DF">
        <w:rPr>
          <w:i/>
        </w:rPr>
        <w:t>Disciplinary Commons</w:t>
      </w:r>
      <w:r w:rsidR="00D003ED">
        <w:t xml:space="preserve"> might be less demanding.</w:t>
      </w:r>
    </w:p>
    <w:p w:rsidR="00D003ED" w:rsidRDefault="003279A0" w:rsidP="00007024">
      <w:pPr>
        <w:pStyle w:val="BodyText"/>
      </w:pPr>
      <w:r>
        <w:t>Some</w:t>
      </w:r>
      <w:r w:rsidR="00574D01">
        <w:t xml:space="preserve"> </w:t>
      </w:r>
      <w:r w:rsidR="000C3ECB">
        <w:t>participants</w:t>
      </w:r>
      <w:r w:rsidR="00574D01">
        <w:t xml:space="preserve"> reported that the </w:t>
      </w:r>
      <w:r w:rsidR="000A0674">
        <w:t>structure of the</w:t>
      </w:r>
      <w:r w:rsidR="00AB2E95">
        <w:t xml:space="preserve"> </w:t>
      </w:r>
      <w:r w:rsidR="00574D01">
        <w:t>portfolio project wasn’t working well for them</w:t>
      </w:r>
      <w:r w:rsidR="00D21D81">
        <w:t xml:space="preserve">.  Specifically, two </w:t>
      </w:r>
      <w:r w:rsidR="000C3ECB">
        <w:t>participants</w:t>
      </w:r>
      <w:r w:rsidR="00D21D81">
        <w:t xml:space="preserve"> felt that they were lacking the “big pict</w:t>
      </w:r>
      <w:r w:rsidR="00D003ED">
        <w:t>ure</w:t>
      </w:r>
      <w:r w:rsidR="00D21D81">
        <w:t>” up front, making it difficult for them to complete the</w:t>
      </w:r>
      <w:r w:rsidR="00CE5E35">
        <w:t xml:space="preserve"> incremental</w:t>
      </w:r>
      <w:r w:rsidR="00D21D81">
        <w:t xml:space="preserve"> tasks.  Two </w:t>
      </w:r>
      <w:r w:rsidR="000C3ECB">
        <w:t>participants</w:t>
      </w:r>
      <w:r w:rsidR="00D21D81">
        <w:t xml:space="preserve"> felt that the </w:t>
      </w:r>
      <w:r w:rsidR="00D003ED">
        <w:t xml:space="preserve">feedback structure was “too complex” and, very often, </w:t>
      </w:r>
      <w:r w:rsidR="000C3ECB">
        <w:t>participants</w:t>
      </w:r>
      <w:r w:rsidR="00D003ED">
        <w:t xml:space="preserve"> did not follow the prescribed format.  Moreover, one of the two added that she/he lacked “an appreciation for the real audience” which made it difficult to provide constructive feedback.  Finally, one participant suggested a “portfolio defense” to make them accountable for </w:t>
      </w:r>
      <w:r w:rsidR="00AE3669">
        <w:t>a high-quality finished product (See the following section for a more in-depth analysis of participants’ perceptions of the portfolio).</w:t>
      </w:r>
    </w:p>
    <w:p w:rsidR="00257097" w:rsidRDefault="000B41B6" w:rsidP="000B41B6">
      <w:pPr>
        <w:pStyle w:val="BodyText"/>
      </w:pPr>
      <w:r>
        <w:t xml:space="preserve">Some other issues mentioned by one participant each included: “Slow” or “stagnant” sessions; </w:t>
      </w:r>
      <w:r w:rsidR="00AE3669">
        <w:t>t</w:t>
      </w:r>
      <w:r>
        <w:t xml:space="preserve">he challenge of critically analyzing one’s own teaching methods; </w:t>
      </w:r>
      <w:r w:rsidR="00AE3669">
        <w:t>r</w:t>
      </w:r>
      <w:r>
        <w:t xml:space="preserve">eadings were not integrated into the sessions; </w:t>
      </w:r>
      <w:r w:rsidR="00AE3669">
        <w:t>crowded rooms; l</w:t>
      </w:r>
      <w:r>
        <w:t>ong travel times</w:t>
      </w:r>
      <w:r w:rsidR="00257097">
        <w:t xml:space="preserve"> (UK </w:t>
      </w:r>
      <w:r w:rsidR="00D003ED" w:rsidRPr="008326DF">
        <w:rPr>
          <w:i/>
        </w:rPr>
        <w:t>Disciplinary Commons</w:t>
      </w:r>
      <w:r w:rsidR="00257097">
        <w:t>)</w:t>
      </w:r>
      <w:r>
        <w:t>.</w:t>
      </w:r>
    </w:p>
    <w:p w:rsidR="00E46E87" w:rsidRDefault="00E46E87" w:rsidP="00E46E87">
      <w:pPr>
        <w:pStyle w:val="BodyText"/>
        <w:spacing w:before="240"/>
      </w:pPr>
      <w:r>
        <w:t xml:space="preserve">One participant each had the following specific suggestions to improve the </w:t>
      </w:r>
      <w:r w:rsidRPr="008326DF">
        <w:rPr>
          <w:i/>
        </w:rPr>
        <w:t>Disciplinary Commons</w:t>
      </w:r>
      <w:r>
        <w:t>:</w:t>
      </w:r>
    </w:p>
    <w:p w:rsidR="00E46E87" w:rsidRDefault="00E46E87" w:rsidP="00F65833">
      <w:pPr>
        <w:pStyle w:val="BodyText"/>
        <w:numPr>
          <w:ilvl w:val="0"/>
          <w:numId w:val="13"/>
        </w:numPr>
      </w:pPr>
      <w:r>
        <w:t>Periodically summarize topics/discussions and re-emphasize the goal</w:t>
      </w:r>
    </w:p>
    <w:p w:rsidR="00E46E87" w:rsidRDefault="00E46E87" w:rsidP="00F65833">
      <w:pPr>
        <w:pStyle w:val="BodyText"/>
        <w:numPr>
          <w:ilvl w:val="0"/>
          <w:numId w:val="13"/>
        </w:numPr>
      </w:pPr>
      <w:r>
        <w:t>Discuss more about “why” certain teaching methodologies are recommended over others</w:t>
      </w:r>
    </w:p>
    <w:p w:rsidR="00E46E87" w:rsidRDefault="00E46E87" w:rsidP="00F65833">
      <w:pPr>
        <w:pStyle w:val="BodyText"/>
        <w:numPr>
          <w:ilvl w:val="0"/>
          <w:numId w:val="13"/>
        </w:numPr>
      </w:pPr>
      <w:r>
        <w:t xml:space="preserve">Focus the </w:t>
      </w:r>
      <w:r w:rsidRPr="008326DF">
        <w:rPr>
          <w:i/>
        </w:rPr>
        <w:t>Disciplinary Commons</w:t>
      </w:r>
      <w:r>
        <w:t xml:space="preserve"> more towards how to conduct research on your own teaching</w:t>
      </w:r>
    </w:p>
    <w:p w:rsidR="003279A0" w:rsidRDefault="003279A0" w:rsidP="00F65833">
      <w:pPr>
        <w:pStyle w:val="BodyText"/>
        <w:numPr>
          <w:ilvl w:val="0"/>
          <w:numId w:val="13"/>
        </w:numPr>
      </w:pPr>
      <w:r w:rsidRPr="008326DF">
        <w:rPr>
          <w:i/>
        </w:rPr>
        <w:t>Disciplinary Commons</w:t>
      </w:r>
      <w:r>
        <w:t xml:space="preserve"> should be a two-year program</w:t>
      </w:r>
    </w:p>
    <w:p w:rsidR="00E46E87" w:rsidRPr="00007024" w:rsidRDefault="00E46E87" w:rsidP="00F65833">
      <w:pPr>
        <w:pStyle w:val="BodyText"/>
        <w:numPr>
          <w:ilvl w:val="0"/>
          <w:numId w:val="13"/>
        </w:numPr>
      </w:pPr>
      <w:r>
        <w:t xml:space="preserve">Have two types of </w:t>
      </w:r>
      <w:r w:rsidR="000B41B6" w:rsidRPr="000B41B6">
        <w:rPr>
          <w:i/>
        </w:rPr>
        <w:t xml:space="preserve">Disciplinary </w:t>
      </w:r>
      <w:r w:rsidRPr="000B41B6">
        <w:rPr>
          <w:i/>
        </w:rPr>
        <w:t>Commons</w:t>
      </w:r>
      <w:r>
        <w:t xml:space="preserve">: one for </w:t>
      </w:r>
      <w:r w:rsidR="003279A0">
        <w:t>directors of teaching and one for everyone else</w:t>
      </w:r>
    </w:p>
    <w:p w:rsidR="003279A0" w:rsidRDefault="003279A0" w:rsidP="003279A0">
      <w:pPr>
        <w:pStyle w:val="Heading2"/>
      </w:pPr>
      <w:r>
        <w:t xml:space="preserve">Participant perceptions of the portfolio </w:t>
      </w:r>
    </w:p>
    <w:p w:rsidR="003279A0" w:rsidRDefault="003279A0" w:rsidP="00F65833">
      <w:pPr>
        <w:pStyle w:val="BodyText"/>
        <w:numPr>
          <w:ilvl w:val="0"/>
          <w:numId w:val="14"/>
        </w:numPr>
        <w:rPr>
          <w:u w:val="single"/>
        </w:rPr>
      </w:pPr>
      <w:r w:rsidRPr="00A306AC">
        <w:rPr>
          <w:u w:val="single"/>
        </w:rPr>
        <w:t xml:space="preserve">What </w:t>
      </w:r>
      <w:r>
        <w:rPr>
          <w:u w:val="single"/>
        </w:rPr>
        <w:t>do you think about your portfolio?</w:t>
      </w:r>
    </w:p>
    <w:p w:rsidR="003279A0" w:rsidRDefault="00966909" w:rsidP="003279A0">
      <w:pPr>
        <w:pStyle w:val="BodyText"/>
      </w:pPr>
      <w:r>
        <w:t xml:space="preserve">When asked this question, </w:t>
      </w:r>
      <w:r w:rsidR="000C3ECB">
        <w:t>participants</w:t>
      </w:r>
      <w:r>
        <w:t>’</w:t>
      </w:r>
      <w:r w:rsidR="00EA36E7">
        <w:t xml:space="preserve"> qualitative</w:t>
      </w:r>
      <w:r>
        <w:t xml:space="preserve"> responses were largely mixed.  While most </w:t>
      </w:r>
      <w:r w:rsidR="000C3ECB">
        <w:t>participants</w:t>
      </w:r>
      <w:r>
        <w:t xml:space="preserve"> felt that it was a “good exercise,” they were likely to report that it was the </w:t>
      </w:r>
      <w:r w:rsidRPr="00966909">
        <w:rPr>
          <w:i/>
        </w:rPr>
        <w:t>process</w:t>
      </w:r>
      <w:r>
        <w:t xml:space="preserve"> of putting the portfolio together as opposed to the culmination of</w:t>
      </w:r>
      <w:r w:rsidR="00D76B8D">
        <w:t xml:space="preserve"> the</w:t>
      </w:r>
      <w:r>
        <w:t xml:space="preserve"> final product that was </w:t>
      </w:r>
      <w:r w:rsidR="00AE3669">
        <w:t>most helpful.</w:t>
      </w:r>
      <w:r w:rsidR="00D76B8D">
        <w:t xml:space="preserve">  </w:t>
      </w:r>
      <w:r w:rsidR="000C3ECB">
        <w:t>Participants</w:t>
      </w:r>
      <w:r w:rsidR="00D76B8D">
        <w:t xml:space="preserve"> said that the exercise enabled </w:t>
      </w:r>
      <w:r w:rsidR="00046E93">
        <w:t>them to analyze the assumptions underlying their teaching, often clarifying what they would like to achieve as educators</w:t>
      </w:r>
      <w:r w:rsidR="00D76B8D">
        <w:t xml:space="preserve">.  As one participant </w:t>
      </w:r>
      <w:r w:rsidR="00046E93">
        <w:t>put it:</w:t>
      </w:r>
    </w:p>
    <w:p w:rsidR="00D76B8D" w:rsidRPr="00D76B8D" w:rsidRDefault="00D76B8D" w:rsidP="00D76B8D">
      <w:pPr>
        <w:pStyle w:val="BodyText"/>
        <w:ind w:left="720"/>
        <w:rPr>
          <w:i/>
        </w:rPr>
      </w:pPr>
      <w:r w:rsidRPr="00D76B8D">
        <w:rPr>
          <w:i/>
        </w:rPr>
        <w:t xml:space="preserve">I </w:t>
      </w:r>
      <w:r w:rsidR="00046E93">
        <w:rPr>
          <w:i/>
        </w:rPr>
        <w:t xml:space="preserve">think the need to produce a portfolio meant that I was forced to look at different areas of how I teach, the context and the content and assessment and all these kind of things.  So that forced me through a process of reflection.  What do I do? Why do I do it? Is there a need for change in these </w:t>
      </w:r>
      <w:r w:rsidR="00643172">
        <w:rPr>
          <w:i/>
        </w:rPr>
        <w:t>areas?</w:t>
      </w:r>
    </w:p>
    <w:p w:rsidR="00D76B8D" w:rsidRDefault="00A4334D" w:rsidP="00763F6D">
      <w:pPr>
        <w:pStyle w:val="BodyText"/>
      </w:pPr>
      <w:r>
        <w:t>On the post-workshop survey, most respondents reported that they found it helpful to work at different levels (e.g., private, protected and public).  However, t</w:t>
      </w:r>
      <w:r w:rsidR="00D76B8D">
        <w:t xml:space="preserve">wo </w:t>
      </w:r>
      <w:r w:rsidR="000C3ECB">
        <w:t>participants</w:t>
      </w:r>
      <w:r w:rsidR="00D76B8D">
        <w:t xml:space="preserve"> struggled with the </w:t>
      </w:r>
      <w:r>
        <w:t>different audiences</w:t>
      </w:r>
      <w:r w:rsidR="00B00DAD">
        <w:t xml:space="preserve">, finding it difficult to </w:t>
      </w:r>
      <w:r>
        <w:t>go back and forth</w:t>
      </w:r>
      <w:r w:rsidR="00B00DAD">
        <w:t xml:space="preserve"> between the portfolio </w:t>
      </w:r>
      <w:r w:rsidR="00D76B8D">
        <w:t>as</w:t>
      </w:r>
      <w:r w:rsidR="00B00DAD">
        <w:t xml:space="preserve"> a personal</w:t>
      </w:r>
      <w:r w:rsidR="00D76B8D">
        <w:t xml:space="preserve">, reflective document </w:t>
      </w:r>
      <w:r w:rsidR="00B00DAD">
        <w:t xml:space="preserve">and </w:t>
      </w:r>
      <w:r w:rsidR="00D76B8D">
        <w:t xml:space="preserve">an instructive document </w:t>
      </w:r>
      <w:r w:rsidR="00046E93">
        <w:t>for public consumption.  For example, one participant reported that she/he has a “good start” on her/his portfolio but needs to remove “reflective stuff” that would not be appropriate for a public audience.  Another participant reported that she/was not “open and free with it” because</w:t>
      </w:r>
      <w:r w:rsidR="00CE2E11">
        <w:t xml:space="preserve"> she/he knew that</w:t>
      </w:r>
      <w:r w:rsidR="00046E93">
        <w:t xml:space="preserve"> it would </w:t>
      </w:r>
      <w:r w:rsidR="006A00D1">
        <w:t>become</w:t>
      </w:r>
      <w:r w:rsidR="00046E93">
        <w:t xml:space="preserve"> a public document.</w:t>
      </w:r>
    </w:p>
    <w:p w:rsidR="00025674" w:rsidRDefault="00415B2E" w:rsidP="00763F6D">
      <w:pPr>
        <w:pStyle w:val="BodyText"/>
      </w:pPr>
      <w:r>
        <w:lastRenderedPageBreak/>
        <w:t>Some p</w:t>
      </w:r>
      <w:r w:rsidR="00025674">
        <w:t xml:space="preserve">articipants </w:t>
      </w:r>
      <w:r w:rsidR="00E07E1D">
        <w:t xml:space="preserve">mentioned that it would have been helpful to have a better conceptualization of the portfolio as a whole </w:t>
      </w:r>
      <w:r w:rsidR="00025674">
        <w:t>at the onset of the project.  As one participant stated:</w:t>
      </w:r>
    </w:p>
    <w:p w:rsidR="00025674" w:rsidRPr="00025674" w:rsidRDefault="00025674" w:rsidP="00025674">
      <w:pPr>
        <w:pStyle w:val="BodyText"/>
        <w:ind w:left="720"/>
        <w:rPr>
          <w:i/>
        </w:rPr>
      </w:pPr>
      <w:r w:rsidRPr="00025674">
        <w:rPr>
          <w:i/>
        </w:rPr>
        <w:t>The most challenging part of the process was to understand the overall “story” of the portfolio.  Having done this once</w:t>
      </w:r>
      <w:r w:rsidR="00415B2E">
        <w:rPr>
          <w:i/>
        </w:rPr>
        <w:t>, however, will help me realize</w:t>
      </w:r>
      <w:r w:rsidRPr="00025674">
        <w:rPr>
          <w:i/>
        </w:rPr>
        <w:t xml:space="preserve"> one needs to (eventually) have a holistic view of the portfolio, rather than viewing it as a collection of pieces.</w:t>
      </w:r>
    </w:p>
    <w:p w:rsidR="00E07E1D" w:rsidRDefault="00025674" w:rsidP="00763F6D">
      <w:pPr>
        <w:pStyle w:val="BodyText"/>
      </w:pPr>
      <w:r>
        <w:t xml:space="preserve">Another participant </w:t>
      </w:r>
      <w:r w:rsidR="00E07E1D">
        <w:t xml:space="preserve">went on to state that </w:t>
      </w:r>
      <w:r>
        <w:t xml:space="preserve">it may not be possible to completely understand the portfolio upfront, </w:t>
      </w:r>
      <w:r w:rsidR="00E07E1D">
        <w:t>reporting tha</w:t>
      </w:r>
      <w:r w:rsidR="00CE5E35">
        <w:t>t the “process” was imperative.  She</w:t>
      </w:r>
      <w:r>
        <w:t>/he</w:t>
      </w:r>
      <w:r w:rsidR="00CE5E35">
        <w:t xml:space="preserve"> </w:t>
      </w:r>
      <w:r w:rsidR="00415B2E">
        <w:t>added</w:t>
      </w:r>
      <w:r w:rsidR="00CE5E35">
        <w:t xml:space="preserve"> that</w:t>
      </w:r>
      <w:r w:rsidR="00E07E1D">
        <w:t xml:space="preserve"> “</w:t>
      </w:r>
      <w:r w:rsidR="00CE5E35">
        <w:t xml:space="preserve">you </w:t>
      </w:r>
      <w:r w:rsidR="00E07E1D">
        <w:t xml:space="preserve">have to go through cul-de-sacs, wrong turns” in order to </w:t>
      </w:r>
      <w:r w:rsidR="00AE3669">
        <w:t>construct a</w:t>
      </w:r>
      <w:r w:rsidR="00E07E1D">
        <w:t xml:space="preserve"> portfolio.</w:t>
      </w:r>
    </w:p>
    <w:p w:rsidR="000D4EF1" w:rsidRDefault="000D4EF1" w:rsidP="00F65833">
      <w:pPr>
        <w:pStyle w:val="BodyText"/>
        <w:numPr>
          <w:ilvl w:val="0"/>
          <w:numId w:val="14"/>
        </w:numPr>
        <w:rPr>
          <w:u w:val="single"/>
        </w:rPr>
      </w:pPr>
      <w:r>
        <w:rPr>
          <w:u w:val="single"/>
        </w:rPr>
        <w:t xml:space="preserve">What was the most significant change you made to your portfolio during the </w:t>
      </w:r>
      <w:r w:rsidRPr="008326DF">
        <w:rPr>
          <w:i/>
          <w:u w:val="single"/>
        </w:rPr>
        <w:t>Disciplinary Commons</w:t>
      </w:r>
      <w:r>
        <w:rPr>
          <w:u w:val="single"/>
        </w:rPr>
        <w:t>?  Why did you make that change?</w:t>
      </w:r>
    </w:p>
    <w:p w:rsidR="006C5267" w:rsidRDefault="003C2DA1" w:rsidP="006C5267">
      <w:pPr>
        <w:pStyle w:val="BodyText"/>
      </w:pPr>
      <w:r>
        <w:t xml:space="preserve">When asked this question, several </w:t>
      </w:r>
      <w:r w:rsidR="000C3ECB">
        <w:t>participants</w:t>
      </w:r>
      <w:r>
        <w:t xml:space="preserve"> </w:t>
      </w:r>
      <w:r w:rsidR="00BD05E5">
        <w:t>stated</w:t>
      </w:r>
      <w:r>
        <w:t xml:space="preserve"> that their own teaching philosophy </w:t>
      </w:r>
      <w:r w:rsidR="00666B00">
        <w:t xml:space="preserve">was clarified </w:t>
      </w:r>
      <w:r>
        <w:t>as they worked through the</w:t>
      </w:r>
      <w:r w:rsidR="00CE2E11">
        <w:t>ir portfolios</w:t>
      </w:r>
      <w:r>
        <w:t>.  One participant reflected on adjust</w:t>
      </w:r>
      <w:r w:rsidR="00EA2BB9">
        <w:t>ments made to her/his portfolio:</w:t>
      </w:r>
    </w:p>
    <w:p w:rsidR="00EA2BB9" w:rsidRPr="00EA2BB9" w:rsidRDefault="00EA2BB9" w:rsidP="00EA2BB9">
      <w:pPr>
        <w:pStyle w:val="BodyText"/>
        <w:ind w:left="720"/>
        <w:rPr>
          <w:i/>
        </w:rPr>
      </w:pPr>
      <w:r w:rsidRPr="00EA2BB9">
        <w:rPr>
          <w:i/>
        </w:rPr>
        <w:t xml:space="preserve">There may have been one or two places where certain philosophical orientations became more clear and I was able to say, </w:t>
      </w:r>
      <w:r w:rsidR="003517EA">
        <w:rPr>
          <w:i/>
        </w:rPr>
        <w:t>“</w:t>
      </w:r>
      <w:r w:rsidR="00643172" w:rsidRPr="00EA2BB9">
        <w:rPr>
          <w:i/>
        </w:rPr>
        <w:t>Oh</w:t>
      </w:r>
      <w:r w:rsidRPr="00EA2BB9">
        <w:rPr>
          <w:i/>
        </w:rPr>
        <w:t xml:space="preserve"> this doesn’t fit anymore.</w:t>
      </w:r>
      <w:r w:rsidR="003517EA">
        <w:rPr>
          <w:i/>
        </w:rPr>
        <w:t>”</w:t>
      </w:r>
    </w:p>
    <w:p w:rsidR="00046E93" w:rsidRDefault="00EA2BB9" w:rsidP="00763F6D">
      <w:pPr>
        <w:pStyle w:val="BodyText"/>
      </w:pPr>
      <w:r>
        <w:t xml:space="preserve">Two </w:t>
      </w:r>
      <w:r w:rsidR="000C3ECB">
        <w:t>participants</w:t>
      </w:r>
      <w:r>
        <w:t xml:space="preserve"> mentioned that the purpose of the portfolio itself became </w:t>
      </w:r>
      <w:r w:rsidR="00666B00">
        <w:t>more apparent</w:t>
      </w:r>
      <w:r>
        <w:t xml:space="preserve"> as they </w:t>
      </w:r>
      <w:r w:rsidR="00415B2E">
        <w:t>progressed</w:t>
      </w:r>
      <w:r>
        <w:t xml:space="preserve"> through the program.  One participant </w:t>
      </w:r>
      <w:r w:rsidR="003517EA">
        <w:t>said</w:t>
      </w:r>
      <w:r>
        <w:t xml:space="preserve"> that she/he had to “rework” the objectives so that they could be measured and another participant said:</w:t>
      </w:r>
    </w:p>
    <w:p w:rsidR="00EA2BB9" w:rsidRDefault="00EA2BB9" w:rsidP="00EA2BB9">
      <w:pPr>
        <w:pStyle w:val="BodyText"/>
        <w:ind w:left="720"/>
        <w:rPr>
          <w:i/>
        </w:rPr>
      </w:pPr>
      <w:r w:rsidRPr="00EA2BB9">
        <w:rPr>
          <w:i/>
        </w:rPr>
        <w:t>I think the underlying realization was the purpose of the portfolio as a reflected document and once that purpose of self-reflection and dissemination of the reflection rather than the content itself was clear, then the role of the artifacts just sort of fell out from that.</w:t>
      </w:r>
    </w:p>
    <w:p w:rsidR="00666B00" w:rsidRDefault="00F4723C" w:rsidP="00666B00">
      <w:pPr>
        <w:pStyle w:val="BodyText"/>
      </w:pPr>
      <w:r>
        <w:t>One participant each mentioned the following</w:t>
      </w:r>
      <w:r w:rsidR="003517EA">
        <w:t xml:space="preserve"> in response to the most significant change made to her/his portfolio</w:t>
      </w:r>
      <w:r>
        <w:t>:</w:t>
      </w:r>
    </w:p>
    <w:p w:rsidR="00F4723C" w:rsidRDefault="00F4723C" w:rsidP="00F65833">
      <w:pPr>
        <w:pStyle w:val="BodyText"/>
        <w:numPr>
          <w:ilvl w:val="0"/>
          <w:numId w:val="15"/>
        </w:numPr>
      </w:pPr>
      <w:r>
        <w:t>Justified teaching methods by adding “evidence” (e.g., videotaping lectures)</w:t>
      </w:r>
    </w:p>
    <w:p w:rsidR="003517EA" w:rsidRDefault="00F4723C" w:rsidP="00F65833">
      <w:pPr>
        <w:pStyle w:val="BodyText"/>
        <w:numPr>
          <w:ilvl w:val="0"/>
          <w:numId w:val="15"/>
        </w:numPr>
      </w:pPr>
      <w:r>
        <w:t xml:space="preserve">Portfolio lacked a “clear vision” </w:t>
      </w:r>
    </w:p>
    <w:p w:rsidR="00415B2E" w:rsidRDefault="00F4723C" w:rsidP="00F65833">
      <w:pPr>
        <w:pStyle w:val="BodyText"/>
        <w:numPr>
          <w:ilvl w:val="0"/>
          <w:numId w:val="15"/>
        </w:numPr>
      </w:pPr>
      <w:r>
        <w:t>Didn’t make many changes and needed an extension to finish it</w:t>
      </w:r>
    </w:p>
    <w:p w:rsidR="00F4723C" w:rsidRDefault="00F4723C" w:rsidP="00F65833">
      <w:pPr>
        <w:pStyle w:val="BodyText"/>
        <w:numPr>
          <w:ilvl w:val="0"/>
          <w:numId w:val="14"/>
        </w:numPr>
        <w:rPr>
          <w:u w:val="single"/>
        </w:rPr>
      </w:pPr>
      <w:r>
        <w:rPr>
          <w:u w:val="single"/>
        </w:rPr>
        <w:t>What plans, if any, do you have for your portfolio now?</w:t>
      </w:r>
    </w:p>
    <w:p w:rsidR="00F4723C" w:rsidRDefault="00246EAD" w:rsidP="00F4723C">
      <w:pPr>
        <w:pStyle w:val="BodyText"/>
      </w:pPr>
      <w:r>
        <w:t>On the post-workshop survey, the majority</w:t>
      </w:r>
      <w:r w:rsidR="004B0C1A">
        <w:t xml:space="preserve"> of respondents</w:t>
      </w:r>
      <w:r w:rsidR="001A1CE4">
        <w:t xml:space="preserve"> </w:t>
      </w:r>
      <w:r w:rsidR="004B0C1A">
        <w:t>reported</w:t>
      </w:r>
      <w:r>
        <w:t xml:space="preserve"> that</w:t>
      </w:r>
      <w:r w:rsidR="004B0C1A">
        <w:t xml:space="preserve"> they would either “definitely” or “probably” continue working on their course portfolio</w:t>
      </w:r>
      <w:r>
        <w:t xml:space="preserve">.  </w:t>
      </w:r>
      <w:r w:rsidR="00F4723C">
        <w:t xml:space="preserve">By and large, </w:t>
      </w:r>
      <w:r w:rsidR="000C3ECB">
        <w:t>participants</w:t>
      </w:r>
      <w:r w:rsidR="00F4723C">
        <w:t xml:space="preserve"> reported </w:t>
      </w:r>
      <w:r w:rsidR="007068F6">
        <w:t>that they would use their portfolio for their own purposes</w:t>
      </w:r>
      <w:r w:rsidR="00A65C20">
        <w:t xml:space="preserve"> (e.g., course preparation)</w:t>
      </w:r>
      <w:r w:rsidR="007068F6">
        <w:t xml:space="preserve"> as</w:t>
      </w:r>
      <w:r w:rsidR="004B0C1A">
        <w:t xml:space="preserve"> opposed to public dissemination.</w:t>
      </w:r>
      <w:r w:rsidR="007068F6">
        <w:t xml:space="preserve">  </w:t>
      </w:r>
      <w:r w:rsidR="00A65C20">
        <w:t xml:space="preserve">One participant felt that the portfolio is a much richer document than </w:t>
      </w:r>
      <w:r w:rsidR="00BD05E5">
        <w:t xml:space="preserve">it </w:t>
      </w:r>
      <w:r w:rsidR="00A65C20">
        <w:t xml:space="preserve">appears </w:t>
      </w:r>
      <w:r w:rsidR="00BD05E5">
        <w:t>when read by others</w:t>
      </w:r>
      <w:r w:rsidR="00A65C20">
        <w:t>.  She/he said:</w:t>
      </w:r>
    </w:p>
    <w:p w:rsidR="00A65C20" w:rsidRPr="00A65C20" w:rsidRDefault="00A65C20" w:rsidP="00A65C20">
      <w:pPr>
        <w:pStyle w:val="BodyText"/>
        <w:ind w:left="720"/>
        <w:rPr>
          <w:i/>
        </w:rPr>
      </w:pPr>
      <w:r w:rsidRPr="00A65C20">
        <w:rPr>
          <w:i/>
        </w:rPr>
        <w:t>I guess the hardest thing is when I look at it or when I look at sections of it, it reminds me of the sessions that we had that led to it and conversations and things we read, but none of that comes across when you just look at my little component portfolio</w:t>
      </w:r>
      <w:r>
        <w:rPr>
          <w:i/>
        </w:rPr>
        <w:t>.</w:t>
      </w:r>
    </w:p>
    <w:p w:rsidR="005423B1" w:rsidRDefault="000318A9" w:rsidP="00763F6D">
      <w:pPr>
        <w:pStyle w:val="BodyText"/>
      </w:pPr>
      <w:r>
        <w:t xml:space="preserve">However, </w:t>
      </w:r>
      <w:r w:rsidR="00B054CA">
        <w:t xml:space="preserve">the majority of participants in both </w:t>
      </w:r>
      <w:r w:rsidR="00B054CA">
        <w:rPr>
          <w:i/>
        </w:rPr>
        <w:t xml:space="preserve">Commons </w:t>
      </w:r>
      <w:r w:rsidR="00B054CA">
        <w:t xml:space="preserve">reported that they had shared parts of their portfolio with someone not participating in the </w:t>
      </w:r>
      <w:r w:rsidR="00B054CA">
        <w:rPr>
          <w:i/>
        </w:rPr>
        <w:t xml:space="preserve">Commons </w:t>
      </w:r>
      <w:r w:rsidR="00B054CA">
        <w:t xml:space="preserve">project.  Moreover, in qualitative responses, </w:t>
      </w:r>
      <w:r>
        <w:t xml:space="preserve">two </w:t>
      </w:r>
      <w:r w:rsidR="000C3ECB">
        <w:t>participants</w:t>
      </w:r>
      <w:r>
        <w:t xml:space="preserve"> mentioned that they viewed the portfolio as a useful public document.  For example, one participant felt that it would be helpful to give to someone else who is planning to teach the course.  Another parti</w:t>
      </w:r>
      <w:r w:rsidR="005423B1">
        <w:t>cipant hoped</w:t>
      </w:r>
      <w:r>
        <w:t xml:space="preserve"> that the </w:t>
      </w:r>
      <w:r w:rsidR="00B43CED">
        <w:lastRenderedPageBreak/>
        <w:t xml:space="preserve">portfolio will </w:t>
      </w:r>
      <w:r>
        <w:t xml:space="preserve">show other colleagues </w:t>
      </w:r>
      <w:r w:rsidR="00B43CED">
        <w:t>the complexity of</w:t>
      </w:r>
      <w:r>
        <w:t xml:space="preserve"> teaching </w:t>
      </w:r>
      <w:r w:rsidR="00754520">
        <w:t>Computer Science</w:t>
      </w:r>
      <w:r>
        <w:t xml:space="preserve"> </w:t>
      </w:r>
      <w:r w:rsidR="005423B1">
        <w:t>and make their teaching philosophy more readily available to their students.</w:t>
      </w:r>
    </w:p>
    <w:p w:rsidR="000318A9" w:rsidRDefault="000318A9" w:rsidP="000318A9">
      <w:pPr>
        <w:pStyle w:val="Heading2"/>
      </w:pPr>
      <w:r>
        <w:t>Participant views on changing practice as a result of participation</w:t>
      </w:r>
    </w:p>
    <w:p w:rsidR="000318A9" w:rsidRDefault="000318A9" w:rsidP="00F65833">
      <w:pPr>
        <w:pStyle w:val="BodyText"/>
        <w:numPr>
          <w:ilvl w:val="0"/>
          <w:numId w:val="16"/>
        </w:numPr>
        <w:rPr>
          <w:u w:val="single"/>
        </w:rPr>
      </w:pPr>
      <w:r>
        <w:rPr>
          <w:u w:val="single"/>
        </w:rPr>
        <w:t>Will you make changes to how you design/approach</w:t>
      </w:r>
      <w:r w:rsidR="00E511C6">
        <w:rPr>
          <w:u w:val="single"/>
        </w:rPr>
        <w:t>/teach</w:t>
      </w:r>
      <w:r>
        <w:rPr>
          <w:u w:val="single"/>
        </w:rPr>
        <w:t xml:space="preserve"> your course as a result of participation? </w:t>
      </w:r>
    </w:p>
    <w:p w:rsidR="00613EB6" w:rsidRDefault="000C3ECB" w:rsidP="00040842">
      <w:pPr>
        <w:pStyle w:val="BodyText"/>
      </w:pPr>
      <w:r>
        <w:t>Participants</w:t>
      </w:r>
      <w:r w:rsidR="00040842">
        <w:t xml:space="preserve"> unanimously reported that they would make changes to their classes as a result of participation in the </w:t>
      </w:r>
      <w:r w:rsidR="00040842" w:rsidRPr="008326DF">
        <w:rPr>
          <w:i/>
        </w:rPr>
        <w:t>Disciplinary Commons</w:t>
      </w:r>
      <w:r w:rsidR="00040842">
        <w:t xml:space="preserve">.  </w:t>
      </w:r>
      <w:r w:rsidR="00E511C6">
        <w:t>M</w:t>
      </w:r>
      <w:r w:rsidR="00902F98">
        <w:t xml:space="preserve">ore generally, </w:t>
      </w:r>
      <w:r>
        <w:t>participants</w:t>
      </w:r>
      <w:r w:rsidR="00902F98">
        <w:t xml:space="preserve"> said</w:t>
      </w:r>
      <w:r w:rsidR="00E511C6">
        <w:t xml:space="preserve"> that they would be more reflective and critical of how they design their courses (e.g., syllabus construction, </w:t>
      </w:r>
      <w:r w:rsidR="00B43CED">
        <w:t>assessment).</w:t>
      </w:r>
      <w:r w:rsidR="00E511C6">
        <w:t xml:space="preserve">  One participant mentioned</w:t>
      </w:r>
      <w:r w:rsidR="00091393">
        <w:t xml:space="preserve"> that</w:t>
      </w:r>
      <w:r w:rsidR="00E511C6">
        <w:t xml:space="preserve"> </w:t>
      </w:r>
      <w:r w:rsidR="00613EB6">
        <w:t>she/he needs to “let go of the ego” and “make more use of existing resources.”  One participant summed up her</w:t>
      </w:r>
      <w:r w:rsidR="00091393">
        <w:t>/his</w:t>
      </w:r>
      <w:r w:rsidR="00613EB6">
        <w:t xml:space="preserve"> new attitude, stating:</w:t>
      </w:r>
    </w:p>
    <w:p w:rsidR="00613EB6" w:rsidRPr="00613EB6" w:rsidRDefault="00613EB6" w:rsidP="00613EB6">
      <w:pPr>
        <w:pStyle w:val="BodyText"/>
        <w:ind w:left="720"/>
        <w:rPr>
          <w:i/>
        </w:rPr>
      </w:pPr>
      <w:r w:rsidRPr="00613EB6">
        <w:rPr>
          <w:i/>
        </w:rPr>
        <w:t>This year I feel a different person in my teaching because I know that I’m trying things out, and some of them will work.  I feel a bit more rejuvenated in my attitude to, you know, innovation and just having a go at things and asking students instead of sort of saying, “oh, well, they’re not really interested…”</w:t>
      </w:r>
    </w:p>
    <w:p w:rsidR="00613EB6" w:rsidRDefault="000C3ECB" w:rsidP="00040842">
      <w:pPr>
        <w:pStyle w:val="BodyText"/>
      </w:pPr>
      <w:r>
        <w:t>Participants</w:t>
      </w:r>
      <w:r w:rsidR="00825617">
        <w:t xml:space="preserve"> specified many </w:t>
      </w:r>
      <w:r w:rsidR="00B019ED">
        <w:t xml:space="preserve">changes </w:t>
      </w:r>
      <w:r w:rsidR="004D0DDD">
        <w:t xml:space="preserve">that </w:t>
      </w:r>
      <w:r w:rsidR="00B019ED">
        <w:t xml:space="preserve">they were considering implementing including making expectations more clear, gathering more student feedback, introducing a “freeform” piece of work, considering small group work </w:t>
      </w:r>
      <w:r w:rsidR="00BD05E5">
        <w:t>away from</w:t>
      </w:r>
      <w:r w:rsidR="00B019ED">
        <w:t xml:space="preserve"> the computers, encouraging more interaction between student and professor, implementing peer review and making lectures more interactive. </w:t>
      </w:r>
      <w:r w:rsidR="00902F98">
        <w:t>One participant said that she/he needed to add reminders to her/his portfolio to remember to try out specific techniques.</w:t>
      </w:r>
    </w:p>
    <w:p w:rsidR="00613EB6" w:rsidRDefault="00902F98" w:rsidP="00040842">
      <w:pPr>
        <w:pStyle w:val="BodyText"/>
      </w:pPr>
      <w:r>
        <w:t>I</w:t>
      </w:r>
      <w:r w:rsidR="00613EB6">
        <w:t xml:space="preserve">t is important to note that some </w:t>
      </w:r>
      <w:r w:rsidR="000C3ECB">
        <w:t>participants</w:t>
      </w:r>
      <w:r w:rsidR="00613EB6">
        <w:t xml:space="preserve"> mentioned that there is little </w:t>
      </w:r>
      <w:r w:rsidR="00412F89">
        <w:t>flexibility</w:t>
      </w:r>
      <w:r w:rsidR="00613EB6">
        <w:t xml:space="preserve"> in how the course is designed, for example, because they are part-time instructors or </w:t>
      </w:r>
      <w:r w:rsidR="00B019ED">
        <w:t xml:space="preserve">they are </w:t>
      </w:r>
      <w:r w:rsidR="00613EB6">
        <w:t xml:space="preserve">not module leaders (e.g., in the UK).  </w:t>
      </w:r>
    </w:p>
    <w:p w:rsidR="00D76B8D" w:rsidRPr="000B41B6" w:rsidRDefault="002F0835" w:rsidP="000B41B6">
      <w:pPr>
        <w:pStyle w:val="Heading1"/>
      </w:pPr>
      <w:r>
        <w:t>Evaluator notes</w:t>
      </w:r>
    </w:p>
    <w:p w:rsidR="002F0835" w:rsidRPr="00872406" w:rsidRDefault="002F0835" w:rsidP="00872406">
      <w:pPr>
        <w:pStyle w:val="BodyText"/>
      </w:pPr>
      <w:r w:rsidRPr="00872406">
        <w:t>As outlined by Tenenberg and Fincher (2007), the program goals</w:t>
      </w:r>
      <w:r w:rsidR="000D2CFA" w:rsidRPr="00872406">
        <w:t xml:space="preserve"> of the Disciplinary Commons</w:t>
      </w:r>
      <w:r w:rsidRPr="00872406">
        <w:t xml:space="preserve"> are twofold:</w:t>
      </w:r>
    </w:p>
    <w:p w:rsidR="002F0835" w:rsidRDefault="002F0835" w:rsidP="00F65833">
      <w:pPr>
        <w:pStyle w:val="BodyText"/>
        <w:numPr>
          <w:ilvl w:val="0"/>
          <w:numId w:val="11"/>
        </w:numPr>
      </w:pPr>
      <w:r>
        <w:t xml:space="preserve">To </w:t>
      </w:r>
      <w:r w:rsidRPr="00F23FFC">
        <w:rPr>
          <w:i/>
        </w:rPr>
        <w:t xml:space="preserve">document </w:t>
      </w:r>
      <w:r>
        <w:t xml:space="preserve">and </w:t>
      </w:r>
      <w:r w:rsidRPr="00F23FFC">
        <w:rPr>
          <w:i/>
        </w:rPr>
        <w:t>share</w:t>
      </w:r>
      <w:r>
        <w:t xml:space="preserve"> knowledge about student learning in </w:t>
      </w:r>
      <w:r w:rsidR="00754520">
        <w:t>Computer Science</w:t>
      </w:r>
      <w:r>
        <w:t xml:space="preserve"> classrooms</w:t>
      </w:r>
      <w:r w:rsidR="00BD05E5">
        <w:t>.</w:t>
      </w:r>
    </w:p>
    <w:p w:rsidR="002F0835" w:rsidRPr="00F23FFC" w:rsidRDefault="002F0835" w:rsidP="00F65833">
      <w:pPr>
        <w:pStyle w:val="BodyText"/>
        <w:numPr>
          <w:ilvl w:val="0"/>
          <w:numId w:val="11"/>
        </w:numPr>
      </w:pPr>
      <w:r>
        <w:t xml:space="preserve">To establish practices for the scholarship of teaching by making it </w:t>
      </w:r>
      <w:r w:rsidRPr="00F23FFC">
        <w:rPr>
          <w:i/>
        </w:rPr>
        <w:t>public, peer-reviewed</w:t>
      </w:r>
      <w:r>
        <w:t xml:space="preserve">, and amenable for </w:t>
      </w:r>
      <w:r w:rsidRPr="00F23FFC">
        <w:rPr>
          <w:i/>
        </w:rPr>
        <w:t>future use and development</w:t>
      </w:r>
      <w:r>
        <w:t xml:space="preserve"> by other educators.</w:t>
      </w:r>
    </w:p>
    <w:p w:rsidR="0032134F" w:rsidRDefault="00825617" w:rsidP="00872406">
      <w:pPr>
        <w:pStyle w:val="BodyText"/>
      </w:pPr>
      <w:r>
        <w:t>In reference to the first goal, participant f</w:t>
      </w:r>
      <w:r w:rsidR="00F1471A">
        <w:t>eedback makes it clear that the</w:t>
      </w:r>
      <w:r>
        <w:t xml:space="preserve"> opportunity to </w:t>
      </w:r>
      <w:r w:rsidR="00DD06A1">
        <w:t xml:space="preserve">regularly </w:t>
      </w:r>
      <w:r>
        <w:t xml:space="preserve">meet </w:t>
      </w:r>
      <w:r w:rsidR="00872406">
        <w:t xml:space="preserve">and </w:t>
      </w:r>
      <w:r w:rsidR="00872406" w:rsidRPr="00872406">
        <w:rPr>
          <w:i/>
        </w:rPr>
        <w:t>share</w:t>
      </w:r>
      <w:r w:rsidR="00872406">
        <w:rPr>
          <w:i/>
        </w:rPr>
        <w:t xml:space="preserve"> </w:t>
      </w:r>
      <w:r w:rsidR="00DD06A1" w:rsidRPr="00872406">
        <w:t>with</w:t>
      </w:r>
      <w:r w:rsidR="00DD06A1">
        <w:t xml:space="preserve"> </w:t>
      </w:r>
      <w:r>
        <w:t xml:space="preserve">other </w:t>
      </w:r>
      <w:r w:rsidR="00754520">
        <w:t>Computer Science</w:t>
      </w:r>
      <w:r>
        <w:t xml:space="preserve"> teachers who are interested in issues of teaching and learning was by far the most valuable aspect of the </w:t>
      </w:r>
      <w:r w:rsidRPr="00825617">
        <w:rPr>
          <w:i/>
        </w:rPr>
        <w:t>Disciplinary Commons</w:t>
      </w:r>
      <w:r>
        <w:t xml:space="preserve"> experience</w:t>
      </w:r>
      <w:r w:rsidR="00DD06A1">
        <w:t>, filling a noticeable void in their professional development.</w:t>
      </w:r>
      <w:r w:rsidR="00DF70A4">
        <w:t xml:space="preserve">  </w:t>
      </w:r>
    </w:p>
    <w:p w:rsidR="00872406" w:rsidRDefault="00872406" w:rsidP="00872406">
      <w:pPr>
        <w:pStyle w:val="BodyText"/>
      </w:pPr>
      <w:r>
        <w:t>Expanding upon the “sharing” aspect of this goal, the data revealed an important and striking outcome:  the development of a strong and vibrant community</w:t>
      </w:r>
      <w:r w:rsidR="00910F19">
        <w:t xml:space="preserve">.  </w:t>
      </w:r>
      <w:r>
        <w:t xml:space="preserve">Participants found their interactions re-energizing as they were exposed to fresh teaching perspectives.  What’s more, some participants reported that they planned to stay in touch with their colleagues and/or collaborate with them on future projects.  </w:t>
      </w:r>
    </w:p>
    <w:p w:rsidR="00E10950" w:rsidRDefault="00872406" w:rsidP="00872406">
      <w:pPr>
        <w:pStyle w:val="BodyText"/>
      </w:pPr>
      <w:r>
        <w:t xml:space="preserve">In regards to </w:t>
      </w:r>
      <w:r>
        <w:rPr>
          <w:i/>
        </w:rPr>
        <w:t>documentation</w:t>
      </w:r>
      <w:r>
        <w:t>, the data suggest that t</w:t>
      </w:r>
      <w:r w:rsidR="00CC1513">
        <w:t xml:space="preserve">he </w:t>
      </w:r>
      <w:r w:rsidR="00CC1513" w:rsidRPr="00681B0E">
        <w:rPr>
          <w:i/>
        </w:rPr>
        <w:t>process</w:t>
      </w:r>
      <w:r w:rsidR="00CC1513">
        <w:t xml:space="preserve"> of critically examining their views on teaching and learning and </w:t>
      </w:r>
      <w:r w:rsidR="00681B0E">
        <w:t>documenting those</w:t>
      </w:r>
      <w:r w:rsidR="00CC1513">
        <w:t xml:space="preserve"> in the portfolio proved to be extremely valuable.  </w:t>
      </w:r>
      <w:r w:rsidR="000C3ECB">
        <w:t>Participants</w:t>
      </w:r>
      <w:r w:rsidR="00CC1513">
        <w:t xml:space="preserve"> reported that the exercise </w:t>
      </w:r>
      <w:r w:rsidR="00DD06A1">
        <w:t xml:space="preserve">served to unearth </w:t>
      </w:r>
      <w:r w:rsidR="0032134F">
        <w:t>the philosophy underlying their teaching</w:t>
      </w:r>
      <w:r w:rsidR="00DD06A1">
        <w:t xml:space="preserve"> and </w:t>
      </w:r>
      <w:r w:rsidR="000929A8">
        <w:t>reflect on</w:t>
      </w:r>
      <w:r w:rsidR="00DD06A1">
        <w:t xml:space="preserve"> what is working an</w:t>
      </w:r>
      <w:r w:rsidR="00681B0E">
        <w:t xml:space="preserve">d what </w:t>
      </w:r>
      <w:r w:rsidR="00681B0E">
        <w:lastRenderedPageBreak/>
        <w:t xml:space="preserve">might need to be </w:t>
      </w:r>
      <w:r w:rsidR="000929A8">
        <w:t>reassessed.</w:t>
      </w:r>
      <w:r w:rsidR="0032134F">
        <w:t xml:space="preserve"> </w:t>
      </w:r>
      <w:r>
        <w:t>H</w:t>
      </w:r>
      <w:r w:rsidR="00E10950">
        <w:t>owever,</w:t>
      </w:r>
      <w:r w:rsidR="00AF1633">
        <w:t xml:space="preserve"> on the whole,</w:t>
      </w:r>
      <w:r w:rsidR="00E10950">
        <w:t xml:space="preserve"> </w:t>
      </w:r>
      <w:r>
        <w:t xml:space="preserve">instructors </w:t>
      </w:r>
      <w:r w:rsidR="0078249B">
        <w:t xml:space="preserve">were more likely </w:t>
      </w:r>
      <w:r w:rsidR="00E10950">
        <w:t xml:space="preserve">to </w:t>
      </w:r>
      <w:r w:rsidR="0078249B">
        <w:t>v</w:t>
      </w:r>
      <w:r w:rsidR="00E10950">
        <w:t>alue</w:t>
      </w:r>
      <w:r w:rsidR="0078249B">
        <w:t xml:space="preserve"> their portfolios as </w:t>
      </w:r>
      <w:r w:rsidR="00EE64D5" w:rsidRPr="00EE64D5">
        <w:rPr>
          <w:i/>
        </w:rPr>
        <w:t>personal</w:t>
      </w:r>
      <w:r w:rsidR="0078249B">
        <w:t xml:space="preserve"> documents to improve their own teaching as opposed to public documents to be used by other educators. </w:t>
      </w:r>
    </w:p>
    <w:p w:rsidR="00647DA8" w:rsidRDefault="00872406" w:rsidP="00872406">
      <w:pPr>
        <w:pStyle w:val="BodyText"/>
      </w:pPr>
      <w:r>
        <w:t>The second goal focuses very much on making these documents public</w:t>
      </w:r>
      <w:r w:rsidR="00D33FBB">
        <w:t>, possibly as a resource for other educators.  The data suggest fairly strongly that at least for this first iteration, participants did not think the portfolios were amenable to such dissemination.</w:t>
      </w:r>
      <w:r w:rsidR="000018C4">
        <w:t xml:space="preserve">  </w:t>
      </w:r>
      <w:r w:rsidR="00647DA8">
        <w:t>It should be said, however, that although the Disciplinary Commons did not necessarily lead to publication of practices related to scholarship of teaching, it certainly effected change in the way the participants’</w:t>
      </w:r>
      <w:r w:rsidR="00910F19">
        <w:t xml:space="preserve"> perceived their</w:t>
      </w:r>
      <w:r w:rsidR="00647DA8">
        <w:t xml:space="preserve"> own teaching practices.  </w:t>
      </w:r>
      <w:r w:rsidR="007E450F">
        <w:t>If the over-arching goal is to enhance teaching and learning, then the Disciplinary Commons experience contributed to this goal on a participant-by-participant basis.</w:t>
      </w:r>
    </w:p>
    <w:p w:rsidR="00E10950" w:rsidRPr="000A0F0E" w:rsidRDefault="00E10950" w:rsidP="00872406">
      <w:pPr>
        <w:pStyle w:val="BodyText"/>
      </w:pPr>
      <w:r>
        <w:t xml:space="preserve">In sum, </w:t>
      </w:r>
      <w:r w:rsidR="00647DA8">
        <w:t xml:space="preserve">the </w:t>
      </w:r>
      <w:r w:rsidR="002A374A">
        <w:t>course-</w:t>
      </w:r>
      <w:r w:rsidR="00647DA8">
        <w:t xml:space="preserve">portfolio served as a </w:t>
      </w:r>
      <w:r w:rsidR="00163FD7">
        <w:t xml:space="preserve">vehicle for personal reflection </w:t>
      </w:r>
      <w:r w:rsidR="00647DA8">
        <w:t>and community-building</w:t>
      </w:r>
      <w:r w:rsidR="00163FD7">
        <w:t xml:space="preserve"> through collaboration</w:t>
      </w:r>
      <w:r w:rsidR="00647DA8">
        <w:t xml:space="preserve">.  While it did not necessarily serve as a public </w:t>
      </w:r>
      <w:r w:rsidR="00E7591E">
        <w:t>vehicle</w:t>
      </w:r>
      <w:r w:rsidR="00647DA8">
        <w:t xml:space="preserve"> for</w:t>
      </w:r>
      <w:r w:rsidR="00E7591E">
        <w:t xml:space="preserve"> increasing scholarly teaching among</w:t>
      </w:r>
      <w:r w:rsidR="00647DA8">
        <w:t xml:space="preserve"> other educators, it did lead to substantive change in computing education for all the educators involved.  </w:t>
      </w:r>
      <w:r w:rsidR="000A0F0E">
        <w:t xml:space="preserve">In terms of dissemination, it may be more useful to publish the </w:t>
      </w:r>
      <w:r w:rsidR="000A0F0E">
        <w:rPr>
          <w:i/>
        </w:rPr>
        <w:t>process</w:t>
      </w:r>
      <w:r w:rsidR="000A0F0E">
        <w:t xml:space="preserve"> of developing course portfolios as opposed to the portfolios themselves.</w:t>
      </w:r>
    </w:p>
    <w:p w:rsidR="0078249B" w:rsidRPr="0078249B" w:rsidRDefault="0078249B" w:rsidP="00B01B62">
      <w:pPr>
        <w:pStyle w:val="Heading1"/>
      </w:pPr>
      <w:r>
        <w:t>recommendations for follow-up</w:t>
      </w:r>
      <w:r w:rsidR="00B01B62">
        <w:t xml:space="preserve"> Questions</w:t>
      </w:r>
    </w:p>
    <w:p w:rsidR="00872406" w:rsidRDefault="00442E93" w:rsidP="00C81AD5">
      <w:pPr>
        <w:pStyle w:val="BodyText"/>
      </w:pPr>
      <w:r>
        <w:t>Another important function of this report is to inform both short- and long-term assessment of the impact of Disciplinary Commons.  A survey will be administered to the participants who provided data for this re-analysis;  and based on the summary above, the evaluation team recommends the questions below be addressed in the follow-up survey.</w:t>
      </w:r>
    </w:p>
    <w:p w:rsidR="00B01B62" w:rsidRDefault="004254D1" w:rsidP="00872406">
      <w:pPr>
        <w:pStyle w:val="Bulleted10"/>
      </w:pPr>
      <w:r w:rsidRPr="0068386B">
        <w:t xml:space="preserve">Have you kept in touch with any of your </w:t>
      </w:r>
      <w:r w:rsidRPr="00B01B62">
        <w:rPr>
          <w:i/>
        </w:rPr>
        <w:t>Disciplinary Commons</w:t>
      </w:r>
      <w:r w:rsidRPr="0068386B">
        <w:t xml:space="preserve"> colleagues?  If so, </w:t>
      </w:r>
      <w:r w:rsidR="00B01B62">
        <w:t>in what capacity</w:t>
      </w:r>
      <w:r w:rsidRPr="0068386B">
        <w:t>?</w:t>
      </w:r>
      <w:r w:rsidR="00B43CED" w:rsidRPr="0068386B">
        <w:t xml:space="preserve">  </w:t>
      </w:r>
      <w:r w:rsidR="00B01B62">
        <w:t>Have there been collaborations?  Have these resulted in published work or conference presentations?</w:t>
      </w:r>
    </w:p>
    <w:p w:rsidR="004254D1" w:rsidRDefault="004254D1" w:rsidP="00872406">
      <w:pPr>
        <w:pStyle w:val="Bulleted10"/>
      </w:pPr>
      <w:r w:rsidRPr="0068386B">
        <w:t xml:space="preserve">Have you returned to your portfolio since completing the </w:t>
      </w:r>
      <w:r w:rsidRPr="00B01B62">
        <w:rPr>
          <w:i/>
        </w:rPr>
        <w:t>Disciplinary Commons</w:t>
      </w:r>
      <w:r w:rsidRPr="0068386B">
        <w:t>?  If so, have you made changes?</w:t>
      </w:r>
    </w:p>
    <w:p w:rsidR="004254D1" w:rsidRDefault="004254D1" w:rsidP="00872406">
      <w:pPr>
        <w:pStyle w:val="Bulleted10"/>
      </w:pPr>
      <w:r w:rsidRPr="0068386B">
        <w:t>Have you used your portfolio fo</w:t>
      </w:r>
      <w:r w:rsidR="0068386B">
        <w:t xml:space="preserve">r course construction?  If so, </w:t>
      </w:r>
      <w:r w:rsidRPr="0068386B">
        <w:t>how?</w:t>
      </w:r>
    </w:p>
    <w:p w:rsidR="00B43CED" w:rsidRDefault="00B43CED" w:rsidP="00872406">
      <w:pPr>
        <w:pStyle w:val="Bulleted10"/>
      </w:pPr>
      <w:r w:rsidRPr="0068386B">
        <w:t>Have you made any concrete changes to your teaching</w:t>
      </w:r>
      <w:r w:rsidR="00B01B62">
        <w:t xml:space="preserve"> as a result of participation in the </w:t>
      </w:r>
      <w:r w:rsidR="00B01B62" w:rsidRPr="00B01B62">
        <w:rPr>
          <w:i/>
        </w:rPr>
        <w:t>Disciplinary Commons</w:t>
      </w:r>
      <w:r w:rsidRPr="0068386B">
        <w:t xml:space="preserve">?  If so, how?  Was </w:t>
      </w:r>
      <w:r w:rsidR="00B01B62">
        <w:t>it successful?  How do you know?</w:t>
      </w:r>
    </w:p>
    <w:p w:rsidR="0068386B" w:rsidRDefault="0068386B" w:rsidP="00872406">
      <w:pPr>
        <w:pStyle w:val="Bulleted10"/>
      </w:pPr>
      <w:r w:rsidRPr="0068386B">
        <w:t>Have you made your portfolio available for others to use?  If so, in what capacity?</w:t>
      </w:r>
    </w:p>
    <w:p w:rsidR="0068386B" w:rsidRPr="0068386B" w:rsidRDefault="0068386B" w:rsidP="00872406">
      <w:pPr>
        <w:pStyle w:val="Bulleted10"/>
      </w:pPr>
      <w:r w:rsidRPr="0068386B">
        <w:t>Have you constructed a portfolio for another course?</w:t>
      </w:r>
    </w:p>
    <w:sectPr w:rsidR="0068386B" w:rsidRPr="0068386B" w:rsidSect="002F7FC2">
      <w:footerReference w:type="default" r:id="rId8"/>
      <w:headerReference w:type="first" r:id="rId9"/>
      <w:footerReference w:type="first" r:id="rId10"/>
      <w:pgSz w:w="12240" w:h="15840" w:code="1"/>
      <w:pgMar w:top="1440" w:right="1080" w:bottom="144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3C" w:rsidRDefault="00B1533C">
      <w:r>
        <w:separator/>
      </w:r>
    </w:p>
  </w:endnote>
  <w:endnote w:type="continuationSeparator" w:id="1">
    <w:p w:rsidR="00B1533C" w:rsidRDefault="00B15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3C" w:rsidRDefault="00B1533C">
    <w:pPr>
      <w:pStyle w:val="Footer"/>
    </w:pPr>
    <w:r>
      <w:rPr>
        <w:i/>
      </w:rPr>
      <w:t>Disciplinary Commons</w:t>
    </w:r>
    <w:r>
      <w:t xml:space="preserve"> Evaluation Plan </w:t>
    </w:r>
    <w:r>
      <w:tab/>
    </w:r>
    <w:r w:rsidR="00924F72">
      <w:rPr>
        <w:rStyle w:val="PageNumber"/>
      </w:rPr>
      <w:fldChar w:fldCharType="begin"/>
    </w:r>
    <w:r>
      <w:rPr>
        <w:rStyle w:val="PageNumber"/>
      </w:rPr>
      <w:instrText xml:space="preserve"> PAGE </w:instrText>
    </w:r>
    <w:r w:rsidR="00924F72">
      <w:rPr>
        <w:rStyle w:val="PageNumber"/>
      </w:rPr>
      <w:fldChar w:fldCharType="separate"/>
    </w:r>
    <w:r w:rsidR="002F7FC2">
      <w:rPr>
        <w:rStyle w:val="PageNumber"/>
        <w:noProof/>
      </w:rPr>
      <w:t>6</w:t>
    </w:r>
    <w:r w:rsidR="00924F7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3C" w:rsidRDefault="00B1533C">
    <w:pPr>
      <w:pStyle w:val="Footer"/>
    </w:pPr>
    <w:r>
      <w:t xml:space="preserve">Copyright © 2009 University of Washington Office of Educational Assessment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3C" w:rsidRDefault="00B1533C">
      <w:r>
        <w:separator/>
      </w:r>
    </w:p>
  </w:footnote>
  <w:footnote w:type="continuationSeparator" w:id="1">
    <w:p w:rsidR="00B1533C" w:rsidRDefault="00B15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3C" w:rsidRDefault="00B1533C">
    <w:pPr>
      <w:pBdr>
        <w:bottom w:val="single" w:sz="4" w:space="1" w:color="auto"/>
      </w:pBdr>
      <w:tabs>
        <w:tab w:val="right" w:pos="9240"/>
      </w:tabs>
      <w:rPr>
        <w:rFonts w:ascii="Trebuchet MS" w:hAnsi="Trebuchet MS" w:cs="Arial"/>
        <w:b/>
        <w:bCs/>
        <w:color w:val="000000"/>
        <w:sz w:val="28"/>
        <w:szCs w:val="28"/>
      </w:rPr>
    </w:pPr>
    <w:r>
      <w:rPr>
        <w:rFonts w:ascii="Trebuchet MS" w:hAnsi="Trebuchet MS" w:cs="Arial"/>
        <w:b/>
        <w:bCs/>
        <w:noProof/>
        <w:color w:val="000000"/>
        <w:sz w:val="28"/>
        <w:szCs w:val="28"/>
      </w:rPr>
      <w:drawing>
        <wp:inline distT="0" distB="0" distL="0" distR="0">
          <wp:extent cx="2626360" cy="7334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6360" cy="733425"/>
                  </a:xfrm>
                  <a:prstGeom prst="rect">
                    <a:avLst/>
                  </a:prstGeom>
                  <a:noFill/>
                  <a:ln w="9525">
                    <a:noFill/>
                    <a:miter lim="800000"/>
                    <a:headEnd/>
                    <a:tailEnd/>
                  </a:ln>
                </pic:spPr>
              </pic:pic>
            </a:graphicData>
          </a:graphic>
        </wp:inline>
      </w:drawing>
    </w:r>
  </w:p>
  <w:p w:rsidR="00B1533C" w:rsidRDefault="00B15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974C2FC"/>
    <w:lvl w:ilvl="0">
      <w:start w:val="1"/>
      <w:numFmt w:val="lowerLetter"/>
      <w:pStyle w:val="ListNumber2"/>
      <w:lvlText w:val="%1."/>
      <w:lvlJc w:val="left"/>
      <w:pPr>
        <w:tabs>
          <w:tab w:val="num" w:pos="360"/>
        </w:tabs>
        <w:ind w:left="360" w:hanging="360"/>
      </w:pPr>
    </w:lvl>
  </w:abstractNum>
  <w:abstractNum w:abstractNumId="1">
    <w:nsid w:val="FFFFFF88"/>
    <w:multiLevelType w:val="singleLevel"/>
    <w:tmpl w:val="3DF43462"/>
    <w:lvl w:ilvl="0">
      <w:start w:val="1"/>
      <w:numFmt w:val="decimal"/>
      <w:pStyle w:val="ListNumber"/>
      <w:lvlText w:val="%1."/>
      <w:lvlJc w:val="left"/>
      <w:pPr>
        <w:tabs>
          <w:tab w:val="num" w:pos="360"/>
        </w:tabs>
        <w:ind w:left="360" w:hanging="360"/>
      </w:pPr>
    </w:lvl>
  </w:abstractNum>
  <w:abstractNum w:abstractNumId="2">
    <w:nsid w:val="141F1D2E"/>
    <w:multiLevelType w:val="hybridMultilevel"/>
    <w:tmpl w:val="60FE4436"/>
    <w:lvl w:ilvl="0" w:tplc="BCAC889C">
      <w:start w:val="1"/>
      <w:numFmt w:val="bullet"/>
      <w:pStyle w:val="bulleted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C02F8"/>
    <w:multiLevelType w:val="hybridMultilevel"/>
    <w:tmpl w:val="328A3A48"/>
    <w:lvl w:ilvl="0" w:tplc="D674AE16">
      <w:start w:val="1"/>
      <w:numFmt w:val="lowerLetter"/>
      <w:pStyle w:val="Numbered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66199"/>
    <w:multiLevelType w:val="hybridMultilevel"/>
    <w:tmpl w:val="447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1DF0"/>
    <w:multiLevelType w:val="hybridMultilevel"/>
    <w:tmpl w:val="89FCFB28"/>
    <w:lvl w:ilvl="0" w:tplc="3136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30075"/>
    <w:multiLevelType w:val="hybridMultilevel"/>
    <w:tmpl w:val="3F700DD4"/>
    <w:lvl w:ilvl="0" w:tplc="CA0EFA0C">
      <w:start w:val="1"/>
      <w:numFmt w:val="bullet"/>
      <w:pStyle w:val="Bulleted2"/>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472407A"/>
    <w:multiLevelType w:val="hybridMultilevel"/>
    <w:tmpl w:val="A088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6A4"/>
    <w:multiLevelType w:val="hybridMultilevel"/>
    <w:tmpl w:val="89FCFB28"/>
    <w:lvl w:ilvl="0" w:tplc="3136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02893"/>
    <w:multiLevelType w:val="hybridMultilevel"/>
    <w:tmpl w:val="DD0480EA"/>
    <w:lvl w:ilvl="0" w:tplc="3136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A7BEF"/>
    <w:multiLevelType w:val="hybridMultilevel"/>
    <w:tmpl w:val="ADDEA9A0"/>
    <w:lvl w:ilvl="0" w:tplc="76B0A9B8">
      <w:start w:val="1"/>
      <w:numFmt w:val="decimal"/>
      <w:pStyle w:val="Numbered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EC146A"/>
    <w:multiLevelType w:val="hybridMultilevel"/>
    <w:tmpl w:val="5FACBEB6"/>
    <w:lvl w:ilvl="0" w:tplc="C28CF790">
      <w:start w:val="1"/>
      <w:numFmt w:val="bullet"/>
      <w:pStyle w:val="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887592"/>
    <w:multiLevelType w:val="hybridMultilevel"/>
    <w:tmpl w:val="95100526"/>
    <w:lvl w:ilvl="0" w:tplc="D758EA9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B62327"/>
    <w:multiLevelType w:val="hybridMultilevel"/>
    <w:tmpl w:val="A51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50B8A"/>
    <w:multiLevelType w:val="hybridMultilevel"/>
    <w:tmpl w:val="5612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81023"/>
    <w:multiLevelType w:val="hybridMultilevel"/>
    <w:tmpl w:val="F2E497CC"/>
    <w:lvl w:ilvl="0" w:tplc="3376AFC0">
      <w:start w:val="1"/>
      <w:numFmt w:val="bullet"/>
      <w:pStyle w:val="Bulleted10"/>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6BA3E02"/>
    <w:multiLevelType w:val="hybridMultilevel"/>
    <w:tmpl w:val="6660FC14"/>
    <w:lvl w:ilvl="0" w:tplc="8F5AE428">
      <w:start w:val="1"/>
      <w:numFmt w:val="bullet"/>
      <w:pStyle w:val="Table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10"/>
  </w:num>
  <w:num w:numId="5">
    <w:abstractNumId w:val="16"/>
  </w:num>
  <w:num w:numId="6">
    <w:abstractNumId w:val="11"/>
  </w:num>
  <w:num w:numId="7">
    <w:abstractNumId w:val="12"/>
  </w:num>
  <w:num w:numId="8">
    <w:abstractNumId w:val="2"/>
  </w:num>
  <w:num w:numId="9">
    <w:abstractNumId w:val="1"/>
  </w:num>
  <w:num w:numId="10">
    <w:abstractNumId w:val="0"/>
  </w:num>
  <w:num w:numId="11">
    <w:abstractNumId w:val="14"/>
  </w:num>
  <w:num w:numId="12">
    <w:abstractNumId w:val="9"/>
  </w:num>
  <w:num w:numId="13">
    <w:abstractNumId w:val="13"/>
  </w:num>
  <w:num w:numId="14">
    <w:abstractNumId w:val="5"/>
  </w:num>
  <w:num w:numId="15">
    <w:abstractNumId w:val="7"/>
  </w:num>
  <w:num w:numId="16">
    <w:abstractNumId w:val="8"/>
  </w:num>
  <w:num w:numId="17">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pos w:val="sectEnd"/>
    <w:endnote w:id="0"/>
    <w:endnote w:id="1"/>
  </w:endnotePr>
  <w:compat/>
  <w:rsids>
    <w:rsidRoot w:val="00327A04"/>
    <w:rsid w:val="000018C4"/>
    <w:rsid w:val="00007024"/>
    <w:rsid w:val="000179C8"/>
    <w:rsid w:val="00025674"/>
    <w:rsid w:val="000318A9"/>
    <w:rsid w:val="00040842"/>
    <w:rsid w:val="000416E1"/>
    <w:rsid w:val="00046E93"/>
    <w:rsid w:val="00054B41"/>
    <w:rsid w:val="000676E8"/>
    <w:rsid w:val="00077E4B"/>
    <w:rsid w:val="00091393"/>
    <w:rsid w:val="000929A8"/>
    <w:rsid w:val="000A0674"/>
    <w:rsid w:val="000A0F0E"/>
    <w:rsid w:val="000B41B6"/>
    <w:rsid w:val="000C2C4E"/>
    <w:rsid w:val="000C3ECB"/>
    <w:rsid w:val="000D2CFA"/>
    <w:rsid w:val="000D4EF1"/>
    <w:rsid w:val="000E3C40"/>
    <w:rsid w:val="00112614"/>
    <w:rsid w:val="00146F2C"/>
    <w:rsid w:val="00163FD7"/>
    <w:rsid w:val="00177FE7"/>
    <w:rsid w:val="001A1CE4"/>
    <w:rsid w:val="001B4653"/>
    <w:rsid w:val="001E72C1"/>
    <w:rsid w:val="001F22AC"/>
    <w:rsid w:val="002051EE"/>
    <w:rsid w:val="0022526D"/>
    <w:rsid w:val="00237944"/>
    <w:rsid w:val="00242888"/>
    <w:rsid w:val="00244B14"/>
    <w:rsid w:val="00246EAD"/>
    <w:rsid w:val="002515AE"/>
    <w:rsid w:val="00257097"/>
    <w:rsid w:val="00286E0C"/>
    <w:rsid w:val="002A374A"/>
    <w:rsid w:val="002C3563"/>
    <w:rsid w:val="002E2714"/>
    <w:rsid w:val="002F0835"/>
    <w:rsid w:val="002F7FC2"/>
    <w:rsid w:val="00302A75"/>
    <w:rsid w:val="00303FAD"/>
    <w:rsid w:val="0032134F"/>
    <w:rsid w:val="003279A0"/>
    <w:rsid w:val="00327A04"/>
    <w:rsid w:val="00347C95"/>
    <w:rsid w:val="003517EA"/>
    <w:rsid w:val="00361BAF"/>
    <w:rsid w:val="00383829"/>
    <w:rsid w:val="00391E86"/>
    <w:rsid w:val="00395FF4"/>
    <w:rsid w:val="003A1ACA"/>
    <w:rsid w:val="003C2DA1"/>
    <w:rsid w:val="003E09BD"/>
    <w:rsid w:val="003E6CD2"/>
    <w:rsid w:val="00412F89"/>
    <w:rsid w:val="00415B2E"/>
    <w:rsid w:val="00416069"/>
    <w:rsid w:val="004254D1"/>
    <w:rsid w:val="00442E93"/>
    <w:rsid w:val="004611A3"/>
    <w:rsid w:val="00462A60"/>
    <w:rsid w:val="004743C9"/>
    <w:rsid w:val="0048457C"/>
    <w:rsid w:val="00490754"/>
    <w:rsid w:val="00497027"/>
    <w:rsid w:val="004B0C1A"/>
    <w:rsid w:val="004C61C2"/>
    <w:rsid w:val="004D0DDD"/>
    <w:rsid w:val="00502EBF"/>
    <w:rsid w:val="005158BD"/>
    <w:rsid w:val="005213A2"/>
    <w:rsid w:val="00526242"/>
    <w:rsid w:val="005340E0"/>
    <w:rsid w:val="005363BA"/>
    <w:rsid w:val="005423B1"/>
    <w:rsid w:val="0055788E"/>
    <w:rsid w:val="0056197A"/>
    <w:rsid w:val="00573262"/>
    <w:rsid w:val="00574D01"/>
    <w:rsid w:val="005C03F2"/>
    <w:rsid w:val="005C4B2A"/>
    <w:rsid w:val="005C62D0"/>
    <w:rsid w:val="005D4325"/>
    <w:rsid w:val="005F2F07"/>
    <w:rsid w:val="00613EB6"/>
    <w:rsid w:val="00614111"/>
    <w:rsid w:val="00643172"/>
    <w:rsid w:val="00647DA8"/>
    <w:rsid w:val="00666B00"/>
    <w:rsid w:val="00671301"/>
    <w:rsid w:val="00676755"/>
    <w:rsid w:val="00681B0E"/>
    <w:rsid w:val="0068386B"/>
    <w:rsid w:val="006A00D1"/>
    <w:rsid w:val="006A6377"/>
    <w:rsid w:val="006C102A"/>
    <w:rsid w:val="006C33F3"/>
    <w:rsid w:val="006C5267"/>
    <w:rsid w:val="006E27F9"/>
    <w:rsid w:val="007068F6"/>
    <w:rsid w:val="00712358"/>
    <w:rsid w:val="007311F3"/>
    <w:rsid w:val="00731373"/>
    <w:rsid w:val="007325E7"/>
    <w:rsid w:val="00744C50"/>
    <w:rsid w:val="00754520"/>
    <w:rsid w:val="00763F6D"/>
    <w:rsid w:val="00767890"/>
    <w:rsid w:val="00781F73"/>
    <w:rsid w:val="0078249B"/>
    <w:rsid w:val="007E2F8E"/>
    <w:rsid w:val="007E450F"/>
    <w:rsid w:val="007F7A4A"/>
    <w:rsid w:val="00805245"/>
    <w:rsid w:val="00811C5D"/>
    <w:rsid w:val="00817990"/>
    <w:rsid w:val="00825617"/>
    <w:rsid w:val="00826D75"/>
    <w:rsid w:val="008326DF"/>
    <w:rsid w:val="00832931"/>
    <w:rsid w:val="008477C5"/>
    <w:rsid w:val="00847B82"/>
    <w:rsid w:val="00872406"/>
    <w:rsid w:val="008856A0"/>
    <w:rsid w:val="008A2B7F"/>
    <w:rsid w:val="008A6772"/>
    <w:rsid w:val="008C18BD"/>
    <w:rsid w:val="008E1290"/>
    <w:rsid w:val="00902F98"/>
    <w:rsid w:val="00910F19"/>
    <w:rsid w:val="00924F72"/>
    <w:rsid w:val="00941791"/>
    <w:rsid w:val="00942214"/>
    <w:rsid w:val="00944A4A"/>
    <w:rsid w:val="00960B54"/>
    <w:rsid w:val="00966909"/>
    <w:rsid w:val="009D063A"/>
    <w:rsid w:val="009F7D51"/>
    <w:rsid w:val="00A13A6E"/>
    <w:rsid w:val="00A24EC7"/>
    <w:rsid w:val="00A306AC"/>
    <w:rsid w:val="00A35A25"/>
    <w:rsid w:val="00A4334D"/>
    <w:rsid w:val="00A5188A"/>
    <w:rsid w:val="00A57092"/>
    <w:rsid w:val="00A65C20"/>
    <w:rsid w:val="00AA61B0"/>
    <w:rsid w:val="00AB2E95"/>
    <w:rsid w:val="00AD02A3"/>
    <w:rsid w:val="00AD1B85"/>
    <w:rsid w:val="00AE3669"/>
    <w:rsid w:val="00AF1633"/>
    <w:rsid w:val="00B00DAD"/>
    <w:rsid w:val="00B019ED"/>
    <w:rsid w:val="00B01B62"/>
    <w:rsid w:val="00B054CA"/>
    <w:rsid w:val="00B06655"/>
    <w:rsid w:val="00B0669E"/>
    <w:rsid w:val="00B103B6"/>
    <w:rsid w:val="00B1533C"/>
    <w:rsid w:val="00B43CED"/>
    <w:rsid w:val="00B44FB7"/>
    <w:rsid w:val="00B51506"/>
    <w:rsid w:val="00B56D4E"/>
    <w:rsid w:val="00B61BF1"/>
    <w:rsid w:val="00B65159"/>
    <w:rsid w:val="00BC2440"/>
    <w:rsid w:val="00BC7E29"/>
    <w:rsid w:val="00BD05E5"/>
    <w:rsid w:val="00BE5A30"/>
    <w:rsid w:val="00BF57FB"/>
    <w:rsid w:val="00C102D4"/>
    <w:rsid w:val="00C1527D"/>
    <w:rsid w:val="00C24819"/>
    <w:rsid w:val="00C81AD5"/>
    <w:rsid w:val="00C84956"/>
    <w:rsid w:val="00C90CD3"/>
    <w:rsid w:val="00CB1FD0"/>
    <w:rsid w:val="00CB5ACC"/>
    <w:rsid w:val="00CC1513"/>
    <w:rsid w:val="00CD4E64"/>
    <w:rsid w:val="00CE0D99"/>
    <w:rsid w:val="00CE2E11"/>
    <w:rsid w:val="00CE5E35"/>
    <w:rsid w:val="00D003ED"/>
    <w:rsid w:val="00D058F0"/>
    <w:rsid w:val="00D10824"/>
    <w:rsid w:val="00D21D81"/>
    <w:rsid w:val="00D33FBB"/>
    <w:rsid w:val="00D504BC"/>
    <w:rsid w:val="00D70965"/>
    <w:rsid w:val="00D76B8D"/>
    <w:rsid w:val="00DD06A1"/>
    <w:rsid w:val="00DE43D4"/>
    <w:rsid w:val="00DE4A01"/>
    <w:rsid w:val="00DF70A4"/>
    <w:rsid w:val="00E07E1D"/>
    <w:rsid w:val="00E10950"/>
    <w:rsid w:val="00E3482F"/>
    <w:rsid w:val="00E41086"/>
    <w:rsid w:val="00E41158"/>
    <w:rsid w:val="00E46E87"/>
    <w:rsid w:val="00E511C6"/>
    <w:rsid w:val="00E67A75"/>
    <w:rsid w:val="00E7591E"/>
    <w:rsid w:val="00EA2BB9"/>
    <w:rsid w:val="00EA36E7"/>
    <w:rsid w:val="00EA6D77"/>
    <w:rsid w:val="00EB4B14"/>
    <w:rsid w:val="00EE43BB"/>
    <w:rsid w:val="00EE64D5"/>
    <w:rsid w:val="00F1259B"/>
    <w:rsid w:val="00F1471A"/>
    <w:rsid w:val="00F23FFC"/>
    <w:rsid w:val="00F32014"/>
    <w:rsid w:val="00F346CD"/>
    <w:rsid w:val="00F4156C"/>
    <w:rsid w:val="00F4723C"/>
    <w:rsid w:val="00F65833"/>
    <w:rsid w:val="00F938FA"/>
    <w:rsid w:val="00FA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D75"/>
    <w:rPr>
      <w:sz w:val="24"/>
      <w:szCs w:val="24"/>
    </w:rPr>
  </w:style>
  <w:style w:type="paragraph" w:styleId="Heading1">
    <w:name w:val="heading 1"/>
    <w:basedOn w:val="Normal"/>
    <w:next w:val="BodyText"/>
    <w:autoRedefine/>
    <w:qFormat/>
    <w:rsid w:val="00237944"/>
    <w:pPr>
      <w:keepNext/>
      <w:spacing w:before="240" w:after="180" w:line="300" w:lineRule="exact"/>
      <w:jc w:val="center"/>
      <w:outlineLvl w:val="0"/>
    </w:pPr>
    <w:rPr>
      <w:rFonts w:ascii="Trebuchet MS" w:hAnsi="Trebuchet MS" w:cs="Arial"/>
      <w:b/>
      <w:bCs/>
      <w:caps/>
      <w:kern w:val="32"/>
      <w:szCs w:val="32"/>
    </w:rPr>
  </w:style>
  <w:style w:type="paragraph" w:styleId="Heading2">
    <w:name w:val="heading 2"/>
    <w:basedOn w:val="Heading1"/>
    <w:next w:val="BodyText"/>
    <w:autoRedefine/>
    <w:qFormat/>
    <w:rsid w:val="00826D75"/>
    <w:pPr>
      <w:jc w:val="left"/>
      <w:outlineLvl w:val="1"/>
    </w:pPr>
    <w:rPr>
      <w:caps w:val="0"/>
      <w:szCs w:val="22"/>
    </w:rPr>
  </w:style>
  <w:style w:type="paragraph" w:styleId="Heading3">
    <w:name w:val="heading 3"/>
    <w:basedOn w:val="Normal"/>
    <w:next w:val="BodyText"/>
    <w:autoRedefine/>
    <w:qFormat/>
    <w:rsid w:val="00826D75"/>
    <w:pPr>
      <w:keepNext/>
      <w:spacing w:before="240"/>
      <w:outlineLvl w:val="2"/>
    </w:pPr>
    <w:rPr>
      <w:rFonts w:ascii="Trebuchet MS" w:hAnsi="Trebuchet MS"/>
      <w:b/>
      <w:i/>
      <w:iCs/>
      <w:sz w:val="22"/>
      <w:szCs w:val="20"/>
    </w:rPr>
  </w:style>
  <w:style w:type="paragraph" w:styleId="Heading4">
    <w:name w:val="heading 4"/>
    <w:basedOn w:val="BodyText"/>
    <w:next w:val="Normal"/>
    <w:qFormat/>
    <w:rsid w:val="00826D75"/>
    <w:pPr>
      <w:spacing w:before="240"/>
      <w:outlineLvl w:val="3"/>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6D75"/>
    <w:pPr>
      <w:spacing w:before="120" w:after="120" w:line="300" w:lineRule="exact"/>
    </w:pPr>
    <w:rPr>
      <w:rFonts w:ascii="Palatino Linotype" w:hAnsi="Palatino Linotype" w:cs="Arial"/>
      <w:sz w:val="20"/>
      <w:szCs w:val="18"/>
    </w:rPr>
  </w:style>
  <w:style w:type="paragraph" w:styleId="Header">
    <w:name w:val="header"/>
    <w:basedOn w:val="Normal"/>
    <w:rsid w:val="00826D75"/>
    <w:pPr>
      <w:tabs>
        <w:tab w:val="center" w:pos="4320"/>
        <w:tab w:val="right" w:pos="8640"/>
      </w:tabs>
    </w:pPr>
  </w:style>
  <w:style w:type="paragraph" w:customStyle="1" w:styleId="Bulleted2">
    <w:name w:val="Bulleted 2"/>
    <w:basedOn w:val="Numbered2"/>
    <w:rsid w:val="00826D75"/>
    <w:pPr>
      <w:numPr>
        <w:numId w:val="1"/>
      </w:numPr>
    </w:pPr>
  </w:style>
  <w:style w:type="paragraph" w:customStyle="1" w:styleId="Author">
    <w:name w:val="Author"/>
    <w:basedOn w:val="BodyText"/>
    <w:rsid w:val="00826D75"/>
    <w:pPr>
      <w:spacing w:before="240" w:after="0"/>
    </w:pPr>
    <w:rPr>
      <w:rFonts w:ascii="Trebuchet MS" w:hAnsi="Trebuchet MS"/>
      <w:b/>
      <w:bCs/>
      <w:i/>
    </w:rPr>
  </w:style>
  <w:style w:type="paragraph" w:styleId="Footer">
    <w:name w:val="footer"/>
    <w:basedOn w:val="Normal"/>
    <w:autoRedefine/>
    <w:rsid w:val="00826D75"/>
    <w:pPr>
      <w:tabs>
        <w:tab w:val="right" w:pos="9360"/>
      </w:tabs>
    </w:pPr>
    <w:rPr>
      <w:rFonts w:ascii="Palatino Linotype" w:hAnsi="Palatino Linotype"/>
      <w:sz w:val="16"/>
      <w:szCs w:val="16"/>
    </w:rPr>
  </w:style>
  <w:style w:type="paragraph" w:styleId="FootnoteText">
    <w:name w:val="footnote text"/>
    <w:basedOn w:val="BodyText"/>
    <w:semiHidden/>
    <w:rsid w:val="00826D75"/>
    <w:pPr>
      <w:tabs>
        <w:tab w:val="left" w:pos="180"/>
      </w:tabs>
      <w:spacing w:before="0" w:after="0" w:line="240" w:lineRule="auto"/>
      <w:ind w:left="187" w:hanging="187"/>
    </w:pPr>
    <w:rPr>
      <w:sz w:val="18"/>
    </w:rPr>
  </w:style>
  <w:style w:type="character" w:styleId="FootnoteReference">
    <w:name w:val="footnote reference"/>
    <w:basedOn w:val="DefaultParagraphFont"/>
    <w:semiHidden/>
    <w:rsid w:val="00826D75"/>
    <w:rPr>
      <w:rFonts w:ascii="Palatino Linotype" w:hAnsi="Palatino Linotype"/>
      <w:vertAlign w:val="superscript"/>
    </w:rPr>
  </w:style>
  <w:style w:type="character" w:styleId="PageNumber">
    <w:name w:val="page number"/>
    <w:basedOn w:val="DefaultParagraphFont"/>
    <w:rsid w:val="00826D75"/>
  </w:style>
  <w:style w:type="paragraph" w:styleId="Title">
    <w:name w:val="Title"/>
    <w:basedOn w:val="Normal"/>
    <w:autoRedefine/>
    <w:qFormat/>
    <w:rsid w:val="00826D75"/>
    <w:pPr>
      <w:spacing w:before="360" w:after="240" w:line="300" w:lineRule="exact"/>
      <w:jc w:val="center"/>
      <w:outlineLvl w:val="0"/>
    </w:pPr>
    <w:rPr>
      <w:rFonts w:ascii="Trebuchet MS" w:hAnsi="Trebuchet MS" w:cs="Arial"/>
      <w:b/>
      <w:bCs/>
      <w:kern w:val="28"/>
      <w:sz w:val="28"/>
      <w:szCs w:val="32"/>
    </w:rPr>
  </w:style>
  <w:style w:type="paragraph" w:customStyle="1" w:styleId="Bulleted10">
    <w:name w:val="Bulleted 1"/>
    <w:basedOn w:val="Numbered1"/>
    <w:rsid w:val="00826D75"/>
    <w:pPr>
      <w:numPr>
        <w:numId w:val="2"/>
      </w:numPr>
    </w:pPr>
  </w:style>
  <w:style w:type="paragraph" w:customStyle="1" w:styleId="Numbered1">
    <w:name w:val="Numbered 1"/>
    <w:basedOn w:val="BodyText"/>
    <w:rsid w:val="00826D75"/>
    <w:pPr>
      <w:numPr>
        <w:numId w:val="4"/>
      </w:numPr>
      <w:tabs>
        <w:tab w:val="clear" w:pos="1440"/>
        <w:tab w:val="left" w:pos="720"/>
      </w:tabs>
      <w:spacing w:before="0"/>
      <w:ind w:left="720"/>
    </w:pPr>
  </w:style>
  <w:style w:type="paragraph" w:customStyle="1" w:styleId="Numbered2">
    <w:name w:val="Numbered 2"/>
    <w:basedOn w:val="Numbered1"/>
    <w:rsid w:val="00826D75"/>
    <w:pPr>
      <w:numPr>
        <w:numId w:val="3"/>
      </w:numPr>
      <w:tabs>
        <w:tab w:val="clear" w:pos="720"/>
        <w:tab w:val="num" w:pos="1080"/>
      </w:tabs>
      <w:ind w:left="1080"/>
    </w:pPr>
  </w:style>
  <w:style w:type="paragraph" w:customStyle="1" w:styleId="Item">
    <w:name w:val="Item"/>
    <w:basedOn w:val="BodyText"/>
    <w:rsid w:val="00826D75"/>
    <w:pPr>
      <w:tabs>
        <w:tab w:val="left" w:pos="360"/>
      </w:tabs>
      <w:spacing w:before="20" w:after="20" w:line="240" w:lineRule="auto"/>
      <w:ind w:left="360" w:hanging="360"/>
    </w:pPr>
    <w:rPr>
      <w:i/>
      <w:sz w:val="18"/>
    </w:rPr>
  </w:style>
  <w:style w:type="paragraph" w:customStyle="1" w:styleId="TableTitle">
    <w:name w:val="Table Title"/>
    <w:basedOn w:val="Heading1"/>
    <w:rsid w:val="00826D75"/>
    <w:pPr>
      <w:spacing w:before="120" w:line="260" w:lineRule="exact"/>
      <w:jc w:val="left"/>
    </w:pPr>
    <w:rPr>
      <w:caps w:val="0"/>
      <w:sz w:val="18"/>
      <w:szCs w:val="18"/>
    </w:rPr>
  </w:style>
  <w:style w:type="paragraph" w:customStyle="1" w:styleId="TableLabel">
    <w:name w:val="Table Label"/>
    <w:basedOn w:val="BodyText"/>
    <w:rsid w:val="00826D75"/>
    <w:pPr>
      <w:spacing w:before="0" w:after="0" w:line="240" w:lineRule="auto"/>
    </w:pPr>
    <w:rPr>
      <w:b/>
      <w:sz w:val="18"/>
    </w:rPr>
  </w:style>
  <w:style w:type="paragraph" w:styleId="EndnoteText">
    <w:name w:val="endnote text"/>
    <w:basedOn w:val="Normal"/>
    <w:semiHidden/>
    <w:rsid w:val="00826D75"/>
    <w:pPr>
      <w:tabs>
        <w:tab w:val="left" w:pos="288"/>
      </w:tabs>
      <w:spacing w:before="120" w:line="240" w:lineRule="exact"/>
      <w:ind w:left="288" w:hanging="288"/>
    </w:pPr>
    <w:rPr>
      <w:rFonts w:ascii="Arial" w:hAnsi="Arial"/>
      <w:sz w:val="16"/>
      <w:szCs w:val="16"/>
    </w:rPr>
  </w:style>
  <w:style w:type="character" w:styleId="EndnoteReference">
    <w:name w:val="endnote reference"/>
    <w:basedOn w:val="DefaultParagraphFont"/>
    <w:semiHidden/>
    <w:rsid w:val="00826D75"/>
    <w:rPr>
      <w:vertAlign w:val="superscript"/>
    </w:rPr>
  </w:style>
  <w:style w:type="paragraph" w:customStyle="1" w:styleId="Coefficient">
    <w:name w:val="Coefficient"/>
    <w:basedOn w:val="Normal"/>
    <w:rsid w:val="00826D75"/>
    <w:pPr>
      <w:spacing w:before="60" w:after="60"/>
      <w:jc w:val="right"/>
    </w:pPr>
    <w:rPr>
      <w:rFonts w:ascii="Arial" w:hAnsi="Arial" w:cs="Arial"/>
      <w:sz w:val="18"/>
      <w:szCs w:val="18"/>
    </w:rPr>
  </w:style>
  <w:style w:type="character" w:styleId="Hyperlink">
    <w:name w:val="Hyperlink"/>
    <w:basedOn w:val="DefaultParagraphFont"/>
    <w:rsid w:val="00826D75"/>
    <w:rPr>
      <w:color w:val="0000FF"/>
      <w:u w:val="single"/>
    </w:rPr>
  </w:style>
  <w:style w:type="character" w:customStyle="1" w:styleId="graytxt">
    <w:name w:val="graytxt"/>
    <w:basedOn w:val="DefaultParagraphFont"/>
    <w:rsid w:val="00826D75"/>
  </w:style>
  <w:style w:type="paragraph" w:customStyle="1" w:styleId="TableCellRight">
    <w:name w:val="Table Cell Right"/>
    <w:basedOn w:val="TableCellCenter"/>
    <w:autoRedefine/>
    <w:rsid w:val="00826D75"/>
    <w:pPr>
      <w:keepNext/>
      <w:ind w:right="288"/>
      <w:jc w:val="right"/>
    </w:pPr>
    <w:rPr>
      <w:bCs/>
      <w:sz w:val="18"/>
    </w:rPr>
  </w:style>
  <w:style w:type="paragraph" w:customStyle="1" w:styleId="TableHeading">
    <w:name w:val="Table Heading"/>
    <w:basedOn w:val="Heading1"/>
    <w:autoRedefine/>
    <w:rsid w:val="00826D75"/>
    <w:pPr>
      <w:spacing w:before="40" w:after="40" w:line="240" w:lineRule="auto"/>
    </w:pPr>
    <w:rPr>
      <w:rFonts w:ascii="Arial" w:hAnsi="Arial"/>
      <w:caps w:val="0"/>
      <w:sz w:val="18"/>
      <w:szCs w:val="16"/>
    </w:rPr>
  </w:style>
  <w:style w:type="paragraph" w:customStyle="1" w:styleId="TableCellLeft">
    <w:name w:val="Table Cell Left"/>
    <w:basedOn w:val="TableCellCenter"/>
    <w:rsid w:val="00826D75"/>
    <w:pPr>
      <w:jc w:val="left"/>
    </w:pPr>
  </w:style>
  <w:style w:type="paragraph" w:customStyle="1" w:styleId="TableCellCenter">
    <w:name w:val="Table Cell Center"/>
    <w:basedOn w:val="BodyText"/>
    <w:rsid w:val="00826D75"/>
    <w:pPr>
      <w:spacing w:before="20" w:after="20" w:line="240" w:lineRule="auto"/>
      <w:jc w:val="center"/>
    </w:pPr>
    <w:rPr>
      <w:rFonts w:ascii="Arial" w:hAnsi="Arial"/>
    </w:rPr>
  </w:style>
  <w:style w:type="paragraph" w:styleId="BalloonText">
    <w:name w:val="Balloon Text"/>
    <w:basedOn w:val="Normal"/>
    <w:semiHidden/>
    <w:rsid w:val="00826D75"/>
    <w:rPr>
      <w:rFonts w:ascii="Tahoma" w:hAnsi="Tahoma" w:cs="Tahoma"/>
      <w:sz w:val="16"/>
      <w:szCs w:val="16"/>
    </w:rPr>
  </w:style>
  <w:style w:type="paragraph" w:customStyle="1" w:styleId="ReportNumber">
    <w:name w:val="Report Number"/>
    <w:basedOn w:val="Title"/>
    <w:autoRedefine/>
    <w:rsid w:val="00826D75"/>
    <w:pPr>
      <w:spacing w:before="840" w:after="120" w:line="240" w:lineRule="auto"/>
      <w:jc w:val="right"/>
    </w:pPr>
    <w:rPr>
      <w:szCs w:val="20"/>
    </w:rPr>
  </w:style>
  <w:style w:type="paragraph" w:styleId="NormalWeb">
    <w:name w:val="Normal (Web)"/>
    <w:basedOn w:val="Normal"/>
    <w:autoRedefine/>
    <w:rsid w:val="00826D75"/>
    <w:rPr>
      <w:rFonts w:ascii="Palatino Linotype" w:hAnsi="Palatino Linotype"/>
      <w:color w:val="000000"/>
      <w:sz w:val="15"/>
      <w:szCs w:val="16"/>
    </w:rPr>
  </w:style>
  <w:style w:type="paragraph" w:customStyle="1" w:styleId="Style1">
    <w:name w:val="Style1"/>
    <w:basedOn w:val="Title"/>
    <w:rsid w:val="00826D75"/>
  </w:style>
  <w:style w:type="paragraph" w:customStyle="1" w:styleId="Style2">
    <w:name w:val="Style2"/>
    <w:basedOn w:val="Heading1"/>
    <w:rsid w:val="00826D75"/>
  </w:style>
  <w:style w:type="paragraph" w:customStyle="1" w:styleId="Style3">
    <w:name w:val="Style3"/>
    <w:basedOn w:val="Heading2"/>
    <w:rsid w:val="00826D75"/>
  </w:style>
  <w:style w:type="paragraph" w:customStyle="1" w:styleId="Style4">
    <w:name w:val="Style4"/>
    <w:basedOn w:val="Heading3"/>
    <w:rsid w:val="00826D75"/>
  </w:style>
  <w:style w:type="paragraph" w:customStyle="1" w:styleId="Style5">
    <w:name w:val="Style5"/>
    <w:basedOn w:val="TableTitle"/>
    <w:rsid w:val="00826D75"/>
  </w:style>
  <w:style w:type="paragraph" w:customStyle="1" w:styleId="Style6">
    <w:name w:val="Style6"/>
    <w:basedOn w:val="BodyText"/>
    <w:rsid w:val="00826D75"/>
    <w:rPr>
      <w:sz w:val="22"/>
    </w:rPr>
  </w:style>
  <w:style w:type="paragraph" w:customStyle="1" w:styleId="Style7">
    <w:name w:val="Style7"/>
    <w:basedOn w:val="BodyText"/>
    <w:rsid w:val="00826D75"/>
    <w:rPr>
      <w:sz w:val="22"/>
    </w:rPr>
  </w:style>
  <w:style w:type="paragraph" w:customStyle="1" w:styleId="Style8">
    <w:name w:val="Style8"/>
    <w:basedOn w:val="Title"/>
    <w:autoRedefine/>
    <w:rsid w:val="00826D75"/>
  </w:style>
  <w:style w:type="paragraph" w:customStyle="1" w:styleId="TableBullet">
    <w:name w:val="Table Bullet"/>
    <w:basedOn w:val="TableCellLeft"/>
    <w:autoRedefine/>
    <w:rsid w:val="00826D75"/>
    <w:pPr>
      <w:numPr>
        <w:numId w:val="5"/>
      </w:numPr>
    </w:pPr>
  </w:style>
  <w:style w:type="paragraph" w:customStyle="1" w:styleId="bulletedlist">
    <w:name w:val="bulleted list"/>
    <w:basedOn w:val="BodyText"/>
    <w:rsid w:val="00826D75"/>
    <w:pPr>
      <w:numPr>
        <w:numId w:val="6"/>
      </w:numPr>
      <w:spacing w:before="0" w:after="0"/>
    </w:pPr>
  </w:style>
  <w:style w:type="paragraph" w:customStyle="1" w:styleId="figurenote">
    <w:name w:val="figure note"/>
    <w:basedOn w:val="BodyText"/>
    <w:autoRedefine/>
    <w:rsid w:val="00826D75"/>
    <w:pPr>
      <w:spacing w:line="240" w:lineRule="auto"/>
      <w:jc w:val="center"/>
    </w:pPr>
    <w:rPr>
      <w:b/>
    </w:rPr>
  </w:style>
  <w:style w:type="paragraph" w:customStyle="1" w:styleId="bullets">
    <w:name w:val="bullets"/>
    <w:basedOn w:val="BodyText"/>
    <w:rsid w:val="00826D75"/>
    <w:pPr>
      <w:numPr>
        <w:numId w:val="7"/>
      </w:numPr>
      <w:spacing w:before="0" w:after="0"/>
    </w:pPr>
  </w:style>
  <w:style w:type="paragraph" w:customStyle="1" w:styleId="quotes">
    <w:name w:val="quotes"/>
    <w:basedOn w:val="BodyText"/>
    <w:rsid w:val="00826D75"/>
    <w:pPr>
      <w:ind w:left="720" w:right="720"/>
    </w:pPr>
  </w:style>
  <w:style w:type="paragraph" w:customStyle="1" w:styleId="numberlist">
    <w:name w:val="numberlist"/>
    <w:basedOn w:val="BodyText"/>
    <w:rsid w:val="00826D75"/>
    <w:pPr>
      <w:spacing w:before="0" w:after="0"/>
    </w:pPr>
  </w:style>
  <w:style w:type="paragraph" w:customStyle="1" w:styleId="quote">
    <w:name w:val="quote"/>
    <w:basedOn w:val="BodyText"/>
    <w:rsid w:val="00826D75"/>
    <w:pPr>
      <w:ind w:left="720" w:right="720"/>
    </w:pPr>
    <w:rPr>
      <w:i/>
    </w:rPr>
  </w:style>
  <w:style w:type="paragraph" w:customStyle="1" w:styleId="bulleted1">
    <w:name w:val="bulleted1"/>
    <w:basedOn w:val="BodyText"/>
    <w:rsid w:val="00826D75"/>
    <w:pPr>
      <w:numPr>
        <w:numId w:val="8"/>
      </w:numPr>
      <w:spacing w:before="0" w:after="0" w:line="360" w:lineRule="auto"/>
    </w:pPr>
  </w:style>
  <w:style w:type="paragraph" w:customStyle="1" w:styleId="TableNotes">
    <w:name w:val="Table Notes"/>
    <w:basedOn w:val="BodyText"/>
    <w:rsid w:val="00826D75"/>
    <w:pPr>
      <w:spacing w:before="0"/>
    </w:pPr>
    <w:rPr>
      <w:sz w:val="18"/>
    </w:rPr>
  </w:style>
  <w:style w:type="paragraph" w:customStyle="1" w:styleId="FigureTitle">
    <w:name w:val="Figure Title"/>
    <w:basedOn w:val="TableTitle"/>
    <w:rsid w:val="00826D75"/>
    <w:pPr>
      <w:spacing w:before="60"/>
      <w:jc w:val="center"/>
    </w:pPr>
  </w:style>
  <w:style w:type="paragraph" w:styleId="ListNumber">
    <w:name w:val="List Number"/>
    <w:basedOn w:val="BodyText"/>
    <w:rsid w:val="00826D75"/>
    <w:pPr>
      <w:numPr>
        <w:numId w:val="9"/>
      </w:numPr>
    </w:pPr>
  </w:style>
  <w:style w:type="paragraph" w:customStyle="1" w:styleId="StyleTableCellLeftBold">
    <w:name w:val="Style Table Cell Left + Bold"/>
    <w:basedOn w:val="TableCellLeft"/>
    <w:rsid w:val="00826D75"/>
    <w:rPr>
      <w:b/>
      <w:bCs/>
    </w:rPr>
  </w:style>
  <w:style w:type="paragraph" w:styleId="ListNumber2">
    <w:name w:val="List Number 2"/>
    <w:basedOn w:val="BodyText"/>
    <w:rsid w:val="00826D75"/>
    <w:pPr>
      <w:numPr>
        <w:numId w:val="10"/>
      </w:numPr>
    </w:pPr>
  </w:style>
  <w:style w:type="character" w:styleId="Emphasis">
    <w:name w:val="Emphasis"/>
    <w:basedOn w:val="DefaultParagraphFont"/>
    <w:qFormat/>
    <w:rsid w:val="00237944"/>
    <w:rPr>
      <w:i/>
      <w:iCs/>
    </w:rPr>
  </w:style>
  <w:style w:type="paragraph" w:styleId="ListParagraph">
    <w:name w:val="List Paragraph"/>
    <w:basedOn w:val="Normal"/>
    <w:uiPriority w:val="34"/>
    <w:qFormat/>
    <w:rsid w:val="0068386B"/>
    <w:pPr>
      <w:ind w:left="720"/>
      <w:contextualSpacing/>
    </w:pPr>
  </w:style>
  <w:style w:type="character" w:styleId="CommentReference">
    <w:name w:val="annotation reference"/>
    <w:basedOn w:val="DefaultParagraphFont"/>
    <w:rsid w:val="005C4B2A"/>
    <w:rPr>
      <w:sz w:val="16"/>
      <w:szCs w:val="16"/>
    </w:rPr>
  </w:style>
  <w:style w:type="paragraph" w:styleId="CommentText">
    <w:name w:val="annotation text"/>
    <w:basedOn w:val="Normal"/>
    <w:link w:val="CommentTextChar"/>
    <w:rsid w:val="005C4B2A"/>
    <w:rPr>
      <w:sz w:val="20"/>
      <w:szCs w:val="20"/>
    </w:rPr>
  </w:style>
  <w:style w:type="character" w:customStyle="1" w:styleId="CommentTextChar">
    <w:name w:val="Comment Text Char"/>
    <w:basedOn w:val="DefaultParagraphFont"/>
    <w:link w:val="CommentText"/>
    <w:rsid w:val="005C4B2A"/>
  </w:style>
  <w:style w:type="paragraph" w:styleId="CommentSubject">
    <w:name w:val="annotation subject"/>
    <w:basedOn w:val="CommentText"/>
    <w:next w:val="CommentText"/>
    <w:link w:val="CommentSubjectChar"/>
    <w:rsid w:val="005C4B2A"/>
    <w:rPr>
      <w:b/>
      <w:bCs/>
    </w:rPr>
  </w:style>
  <w:style w:type="character" w:customStyle="1" w:styleId="CommentSubjectChar">
    <w:name w:val="Comment Subject Char"/>
    <w:basedOn w:val="CommentTextChar"/>
    <w:link w:val="CommentSubject"/>
    <w:rsid w:val="005C4B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ytam\Application%20Data\Microsoft\Templates\Report_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9406-2659-472C-89D1-4E8F706D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Report_Small.dot</Template>
  <TotalTime>3</TotalTime>
  <Pages>6</Pages>
  <Words>2879</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Bayta Maring</dc:creator>
  <cp:keywords/>
  <dc:description/>
  <cp:lastModifiedBy>baytam</cp:lastModifiedBy>
  <cp:revision>5</cp:revision>
  <cp:lastPrinted>2009-04-22T22:39:00Z</cp:lastPrinted>
  <dcterms:created xsi:type="dcterms:W3CDTF">2009-04-28T23:53:00Z</dcterms:created>
  <dcterms:modified xsi:type="dcterms:W3CDTF">2009-04-28T23:56:00Z</dcterms:modified>
</cp:coreProperties>
</file>