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B1" w:rsidRDefault="002C3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9270"/>
      </w:tblGrid>
      <w:tr w:rsidR="00785C7B">
        <w:tblPrEx>
          <w:tblCellMar>
            <w:top w:w="0" w:type="dxa"/>
            <w:bottom w:w="0" w:type="dxa"/>
          </w:tblCellMar>
        </w:tblPrEx>
        <w:trPr>
          <w:cantSplit/>
          <w:trHeight w:val="420"/>
        </w:trPr>
        <w:tc>
          <w:tcPr>
            <w:tcW w:w="10188" w:type="dxa"/>
            <w:gridSpan w:val="2"/>
          </w:tcPr>
          <w:p w:rsidR="00AD3AB1" w:rsidRPr="00F12BC9" w:rsidRDefault="002C3C1F" w:rsidP="00785C7B">
            <w:pPr>
              <w:jc w:val="center"/>
              <w:rPr>
                <w:b/>
                <w:smallCaps/>
                <w:shadow/>
                <w:sz w:val="36"/>
                <w:szCs w:val="36"/>
              </w:rPr>
            </w:pPr>
            <w:r w:rsidRPr="00F12BC9">
              <w:rPr>
                <w:b/>
                <w:smallCaps/>
                <w:shadow/>
                <w:sz w:val="36"/>
                <w:szCs w:val="36"/>
              </w:rPr>
              <w:t>CIC Syllabus Checklist</w:t>
            </w:r>
          </w:p>
        </w:tc>
      </w:tr>
      <w:tr w:rsidR="00785C7B">
        <w:tblPrEx>
          <w:tblCellMar>
            <w:top w:w="0" w:type="dxa"/>
            <w:bottom w:w="0" w:type="dxa"/>
          </w:tblCellMar>
        </w:tblPrEx>
        <w:trPr>
          <w:cantSplit/>
        </w:trPr>
        <w:tc>
          <w:tcPr>
            <w:tcW w:w="10188" w:type="dxa"/>
            <w:gridSpan w:val="2"/>
          </w:tcPr>
          <w:p w:rsidR="00785C7B" w:rsidRPr="00AF33C2" w:rsidRDefault="00785C7B" w:rsidP="00785C7B">
            <w:pPr>
              <w:pStyle w:val="BodyText"/>
              <w:rPr>
                <w:sz w:val="22"/>
              </w:rPr>
            </w:pPr>
            <w:r w:rsidRPr="00AF33C2">
              <w:rPr>
                <w:sz w:val="22"/>
              </w:rPr>
              <w:t>Course Headers/ Instructor Info</w:t>
            </w:r>
          </w:p>
        </w:tc>
      </w:tr>
      <w:tr w:rsidR="00785C7B">
        <w:tblPrEx>
          <w:tblCellMar>
            <w:top w:w="0" w:type="dxa"/>
            <w:bottom w:w="0" w:type="dxa"/>
          </w:tblCellMar>
        </w:tblPrEx>
        <w:trPr>
          <w:cantSplit/>
        </w:trPr>
        <w:tc>
          <w:tcPr>
            <w:tcW w:w="918" w:type="dxa"/>
          </w:tcPr>
          <w:p w:rsidR="00785C7B" w:rsidRDefault="00785C7B" w:rsidP="00785C7B">
            <w:pPr>
              <w:pStyle w:val="BodyText"/>
              <w:rPr>
                <w:sz w:val="22"/>
              </w:rPr>
            </w:pPr>
          </w:p>
        </w:tc>
        <w:tc>
          <w:tcPr>
            <w:tcW w:w="9270" w:type="dxa"/>
          </w:tcPr>
          <w:p w:rsidR="00785C7B" w:rsidRPr="00AF33C2" w:rsidRDefault="00785C7B" w:rsidP="00785C7B">
            <w:pPr>
              <w:rPr>
                <w:sz w:val="20"/>
                <w:szCs w:val="22"/>
              </w:rPr>
            </w:pPr>
            <w:r w:rsidRPr="00AF33C2">
              <w:rPr>
                <w:sz w:val="20"/>
                <w:szCs w:val="22"/>
              </w:rPr>
              <w:sym w:font="Webdings" w:char="F063"/>
            </w:r>
            <w:r w:rsidRPr="00AF33C2">
              <w:rPr>
                <w:sz w:val="20"/>
                <w:szCs w:val="22"/>
              </w:rPr>
              <w:t xml:space="preserve">  List </w:t>
            </w:r>
            <w:proofErr w:type="spellStart"/>
            <w:r w:rsidRPr="00AF33C2">
              <w:rPr>
                <w:sz w:val="20"/>
                <w:szCs w:val="22"/>
              </w:rPr>
              <w:t>CommonView</w:t>
            </w:r>
            <w:proofErr w:type="spellEnd"/>
            <w:r w:rsidRPr="00AF33C2">
              <w:rPr>
                <w:sz w:val="20"/>
                <w:szCs w:val="22"/>
              </w:rPr>
              <w:t xml:space="preserve"> or course web site URL, if applicable;</w:t>
            </w:r>
          </w:p>
          <w:p w:rsidR="00785C7B" w:rsidRPr="00AF33C2" w:rsidRDefault="00785C7B" w:rsidP="00785C7B">
            <w:pPr>
              <w:rPr>
                <w:sz w:val="20"/>
                <w:szCs w:val="22"/>
              </w:rPr>
            </w:pPr>
            <w:r w:rsidRPr="00AF33C2">
              <w:rPr>
                <w:sz w:val="20"/>
                <w:szCs w:val="22"/>
              </w:rPr>
              <w:sym w:font="Webdings" w:char="F063"/>
            </w:r>
            <w:r w:rsidRPr="00AF33C2">
              <w:rPr>
                <w:sz w:val="20"/>
                <w:szCs w:val="22"/>
              </w:rPr>
              <w:t xml:space="preserve">  List instructor e-mail address;</w:t>
            </w:r>
          </w:p>
          <w:p w:rsidR="00785C7B" w:rsidRPr="00AF33C2" w:rsidRDefault="00785C7B" w:rsidP="00785C7B">
            <w:pPr>
              <w:ind w:left="342" w:hanging="342"/>
              <w:rPr>
                <w:sz w:val="20"/>
                <w:szCs w:val="22"/>
              </w:rPr>
            </w:pPr>
            <w:r w:rsidRPr="00AF33C2">
              <w:rPr>
                <w:sz w:val="20"/>
                <w:szCs w:val="22"/>
              </w:rPr>
              <w:sym w:font="Webdings" w:char="F063"/>
            </w:r>
            <w:r w:rsidRPr="00AF33C2">
              <w:rPr>
                <w:sz w:val="20"/>
                <w:szCs w:val="22"/>
              </w:rPr>
              <w:t xml:space="preserve">  When listing rooms and meeting time, identify which classroom is the lab and which the seminar room.</w:t>
            </w:r>
          </w:p>
          <w:p w:rsidR="00785C7B" w:rsidRDefault="00785C7B" w:rsidP="00785C7B">
            <w:pPr>
              <w:rPr>
                <w:sz w:val="22"/>
              </w:rPr>
            </w:pPr>
          </w:p>
        </w:tc>
      </w:tr>
      <w:tr w:rsidR="00785C7B">
        <w:tblPrEx>
          <w:tblCellMar>
            <w:top w:w="0" w:type="dxa"/>
            <w:bottom w:w="0" w:type="dxa"/>
          </w:tblCellMar>
        </w:tblPrEx>
        <w:trPr>
          <w:cantSplit/>
        </w:trPr>
        <w:tc>
          <w:tcPr>
            <w:tcW w:w="10188" w:type="dxa"/>
            <w:gridSpan w:val="2"/>
          </w:tcPr>
          <w:p w:rsidR="00785C7B" w:rsidRPr="00AF33C2" w:rsidRDefault="00785C7B" w:rsidP="00785C7B">
            <w:pPr>
              <w:pStyle w:val="BodyText"/>
              <w:rPr>
                <w:sz w:val="22"/>
              </w:rPr>
            </w:pPr>
            <w:r w:rsidRPr="00AF33C2">
              <w:rPr>
                <w:sz w:val="22"/>
              </w:rPr>
              <w:t>Course Description</w:t>
            </w:r>
          </w:p>
        </w:tc>
      </w:tr>
      <w:tr w:rsidR="00785C7B">
        <w:tblPrEx>
          <w:tblCellMar>
            <w:top w:w="0" w:type="dxa"/>
            <w:bottom w:w="0" w:type="dxa"/>
          </w:tblCellMar>
        </w:tblPrEx>
        <w:trPr>
          <w:cantSplit/>
          <w:trHeight w:val="1555"/>
        </w:trPr>
        <w:tc>
          <w:tcPr>
            <w:tcW w:w="918" w:type="dxa"/>
          </w:tcPr>
          <w:p w:rsidR="00785C7B" w:rsidRDefault="00785C7B" w:rsidP="00785C7B">
            <w:pPr>
              <w:pStyle w:val="BodyText"/>
              <w:rPr>
                <w:sz w:val="22"/>
              </w:rPr>
            </w:pPr>
          </w:p>
        </w:tc>
        <w:tc>
          <w:tcPr>
            <w:tcW w:w="9270" w:type="dxa"/>
          </w:tcPr>
          <w:p w:rsidR="00785C7B" w:rsidRPr="00AF33C2" w:rsidRDefault="00785C7B" w:rsidP="00785C7B">
            <w:pPr>
              <w:rPr>
                <w:sz w:val="20"/>
              </w:rPr>
            </w:pPr>
            <w:r w:rsidRPr="00AF33C2">
              <w:rPr>
                <w:sz w:val="20"/>
              </w:rPr>
              <w:sym w:font="Webdings" w:char="F063"/>
            </w:r>
            <w:r w:rsidRPr="00AF33C2">
              <w:rPr>
                <w:sz w:val="20"/>
              </w:rPr>
              <w:t xml:space="preserve">  Explain the abbreviation “CIC”;</w:t>
            </w:r>
          </w:p>
          <w:p w:rsidR="00785C7B" w:rsidRDefault="00785C7B" w:rsidP="00785C7B">
            <w:pPr>
              <w:ind w:left="342" w:hanging="342"/>
              <w:rPr>
                <w:sz w:val="22"/>
              </w:rPr>
            </w:pPr>
            <w:r w:rsidRPr="00AF33C2">
              <w:rPr>
                <w:sz w:val="20"/>
              </w:rPr>
              <w:sym w:font="Webdings" w:char="F063"/>
            </w:r>
            <w:r w:rsidRPr="00AF33C2">
              <w:rPr>
                <w:sz w:val="20"/>
              </w:rPr>
              <w:t xml:space="preserve">  Explain that “CIC” courses are first and foremost writing courses—the class will utilize the technology available in the lab to work on active reading, writing, peer review, revision, and critical thinking as in all 100-level composition courses.  Refer to page 89 in the </w:t>
            </w:r>
            <w:r w:rsidRPr="00AF33C2">
              <w:rPr>
                <w:i/>
                <w:sz w:val="20"/>
              </w:rPr>
              <w:t>Faculty Resource Manual</w:t>
            </w:r>
            <w:r w:rsidRPr="00AF33C2">
              <w:rPr>
                <w:sz w:val="20"/>
              </w:rPr>
              <w:t xml:space="preserve"> for a sample paragraph.</w:t>
            </w:r>
            <w:r>
              <w:rPr>
                <w:sz w:val="22"/>
              </w:rPr>
              <w:t xml:space="preserve">  </w:t>
            </w:r>
          </w:p>
        </w:tc>
      </w:tr>
      <w:tr w:rsidR="00785C7B">
        <w:tblPrEx>
          <w:tblCellMar>
            <w:top w:w="0" w:type="dxa"/>
            <w:bottom w:w="0" w:type="dxa"/>
          </w:tblCellMar>
        </w:tblPrEx>
        <w:trPr>
          <w:cantSplit/>
        </w:trPr>
        <w:tc>
          <w:tcPr>
            <w:tcW w:w="10188" w:type="dxa"/>
            <w:gridSpan w:val="2"/>
          </w:tcPr>
          <w:p w:rsidR="00785C7B" w:rsidRPr="00AF33C2" w:rsidRDefault="00785C7B" w:rsidP="00785C7B">
            <w:pPr>
              <w:pStyle w:val="BodyText"/>
              <w:rPr>
                <w:sz w:val="22"/>
              </w:rPr>
            </w:pPr>
            <w:r w:rsidRPr="00AF33C2">
              <w:rPr>
                <w:sz w:val="22"/>
              </w:rPr>
              <w:t>Required Course Texts &amp; Materials</w:t>
            </w:r>
          </w:p>
        </w:tc>
      </w:tr>
      <w:tr w:rsidR="00785C7B">
        <w:tblPrEx>
          <w:tblCellMar>
            <w:top w:w="0" w:type="dxa"/>
            <w:bottom w:w="0" w:type="dxa"/>
          </w:tblCellMar>
        </w:tblPrEx>
        <w:trPr>
          <w:cantSplit/>
        </w:trPr>
        <w:tc>
          <w:tcPr>
            <w:tcW w:w="918" w:type="dxa"/>
          </w:tcPr>
          <w:p w:rsidR="00785C7B" w:rsidRDefault="00785C7B" w:rsidP="00785C7B">
            <w:pPr>
              <w:pStyle w:val="BodyText"/>
              <w:rPr>
                <w:sz w:val="22"/>
              </w:rPr>
            </w:pPr>
          </w:p>
        </w:tc>
        <w:tc>
          <w:tcPr>
            <w:tcW w:w="9270" w:type="dxa"/>
          </w:tcPr>
          <w:p w:rsidR="00785C7B" w:rsidRPr="00AF33C2" w:rsidRDefault="00785C7B">
            <w:pPr>
              <w:rPr>
                <w:sz w:val="20"/>
              </w:rPr>
            </w:pPr>
            <w:r w:rsidRPr="00AF33C2">
              <w:rPr>
                <w:sz w:val="20"/>
              </w:rPr>
              <w:sym w:font="Webdings" w:char="F063"/>
            </w:r>
            <w:r w:rsidRPr="00AF33C2">
              <w:rPr>
                <w:sz w:val="20"/>
              </w:rPr>
              <w:t xml:space="preserve">  </w:t>
            </w:r>
            <w:r w:rsidRPr="00AF33C2">
              <w:rPr>
                <w:i/>
                <w:sz w:val="20"/>
              </w:rPr>
              <w:t>CIC Student Guide</w:t>
            </w:r>
            <w:r w:rsidRPr="00AF33C2">
              <w:rPr>
                <w:sz w:val="20"/>
              </w:rPr>
              <w:t xml:space="preserve"> (online or can have hard copy printed at Communications Copy Ctr.);</w:t>
            </w:r>
          </w:p>
          <w:p w:rsidR="00785C7B" w:rsidRPr="00AF33C2" w:rsidRDefault="00785C7B">
            <w:pPr>
              <w:rPr>
                <w:sz w:val="20"/>
              </w:rPr>
            </w:pPr>
            <w:r w:rsidRPr="00AF33C2">
              <w:rPr>
                <w:sz w:val="20"/>
              </w:rPr>
              <w:sym w:font="Webdings" w:char="F063"/>
            </w:r>
            <w:r w:rsidRPr="00AF33C2">
              <w:rPr>
                <w:sz w:val="20"/>
              </w:rPr>
              <w:t xml:space="preserve">  Reliable method of file transfer (memory storage devices or FTP are acceptable);</w:t>
            </w:r>
          </w:p>
          <w:p w:rsidR="00785C7B" w:rsidRPr="00AF33C2" w:rsidRDefault="00785C7B" w:rsidP="00785C7B">
            <w:pPr>
              <w:rPr>
                <w:sz w:val="20"/>
              </w:rPr>
            </w:pPr>
            <w:r w:rsidRPr="00AF33C2">
              <w:rPr>
                <w:sz w:val="20"/>
              </w:rPr>
              <w:sym w:font="Webdings" w:char="F063"/>
            </w:r>
            <w:r w:rsidRPr="00AF33C2">
              <w:rPr>
                <w:sz w:val="20"/>
              </w:rPr>
              <w:t xml:space="preserve">  A UW email account;</w:t>
            </w:r>
          </w:p>
          <w:p w:rsidR="00785C7B" w:rsidRPr="00AF33C2" w:rsidRDefault="00785C7B" w:rsidP="00785C7B">
            <w:pPr>
              <w:rPr>
                <w:sz w:val="20"/>
              </w:rPr>
            </w:pPr>
            <w:r w:rsidRPr="00AF33C2">
              <w:rPr>
                <w:sz w:val="20"/>
              </w:rPr>
              <w:sym w:font="Webdings" w:char="F063"/>
            </w:r>
            <w:r w:rsidRPr="00AF33C2">
              <w:rPr>
                <w:sz w:val="20"/>
              </w:rPr>
              <w:t xml:space="preserve">  Headphones, if you plan to have students view online media in class.</w:t>
            </w:r>
          </w:p>
          <w:p w:rsidR="00785C7B" w:rsidRDefault="00785C7B" w:rsidP="00785C7B">
            <w:pPr>
              <w:rPr>
                <w:sz w:val="22"/>
              </w:rPr>
            </w:pPr>
          </w:p>
        </w:tc>
      </w:tr>
      <w:tr w:rsidR="00785C7B">
        <w:tblPrEx>
          <w:tblCellMar>
            <w:top w:w="0" w:type="dxa"/>
            <w:bottom w:w="0" w:type="dxa"/>
          </w:tblCellMar>
        </w:tblPrEx>
        <w:trPr>
          <w:cantSplit/>
        </w:trPr>
        <w:tc>
          <w:tcPr>
            <w:tcW w:w="10188" w:type="dxa"/>
            <w:gridSpan w:val="2"/>
          </w:tcPr>
          <w:p w:rsidR="00785C7B" w:rsidRPr="00AF33C2" w:rsidRDefault="00785C7B" w:rsidP="00785C7B">
            <w:pPr>
              <w:pStyle w:val="Heading1"/>
              <w:rPr>
                <w:sz w:val="22"/>
              </w:rPr>
            </w:pPr>
            <w:r w:rsidRPr="00AF33C2">
              <w:rPr>
                <w:sz w:val="22"/>
              </w:rPr>
              <w:t>Course Requirements</w:t>
            </w:r>
          </w:p>
        </w:tc>
      </w:tr>
      <w:tr w:rsidR="00785C7B">
        <w:tblPrEx>
          <w:tblCellMar>
            <w:top w:w="0" w:type="dxa"/>
            <w:bottom w:w="0" w:type="dxa"/>
          </w:tblCellMar>
        </w:tblPrEx>
        <w:trPr>
          <w:cantSplit/>
        </w:trPr>
        <w:tc>
          <w:tcPr>
            <w:tcW w:w="918" w:type="dxa"/>
          </w:tcPr>
          <w:p w:rsidR="00785C7B" w:rsidRDefault="00785C7B">
            <w:pPr>
              <w:rPr>
                <w:b/>
                <w:sz w:val="22"/>
              </w:rPr>
            </w:pPr>
          </w:p>
        </w:tc>
        <w:tc>
          <w:tcPr>
            <w:tcW w:w="9270" w:type="dxa"/>
          </w:tcPr>
          <w:p w:rsidR="00785C7B" w:rsidRPr="00AF33C2" w:rsidRDefault="00785C7B" w:rsidP="00785C7B">
            <w:pPr>
              <w:ind w:left="342" w:hanging="342"/>
              <w:rPr>
                <w:sz w:val="20"/>
              </w:rPr>
            </w:pPr>
            <w:r w:rsidRPr="00AF33C2">
              <w:rPr>
                <w:sz w:val="20"/>
              </w:rPr>
              <w:sym w:font="Webdings" w:char="F063"/>
            </w:r>
            <w:r w:rsidRPr="00AF33C2">
              <w:rPr>
                <w:sz w:val="20"/>
              </w:rPr>
              <w:t xml:space="preserve">  In-class collaborative participation. Although the course may feature online activities, it is not a distance-learning class; students will use computers to generate and submit materials in-class as part of their participation;</w:t>
            </w:r>
          </w:p>
          <w:p w:rsidR="00785C7B" w:rsidRPr="00AF33C2" w:rsidRDefault="00785C7B" w:rsidP="00785C7B">
            <w:pPr>
              <w:ind w:left="342" w:hanging="342"/>
              <w:rPr>
                <w:sz w:val="20"/>
              </w:rPr>
            </w:pPr>
            <w:r w:rsidRPr="00AF33C2">
              <w:rPr>
                <w:sz w:val="20"/>
              </w:rPr>
              <w:sym w:font="Webdings" w:char="F063"/>
            </w:r>
            <w:r w:rsidRPr="00AF33C2">
              <w:rPr>
                <w:sz w:val="20"/>
              </w:rPr>
              <w:t xml:space="preserve">  Guidelines for participation in the lab classroom; </w:t>
            </w:r>
            <w:r w:rsidRPr="00AF33C2">
              <w:rPr>
                <w:i/>
                <w:sz w:val="20"/>
              </w:rPr>
              <w:t xml:space="preserve">CIC </w:t>
            </w:r>
            <w:r w:rsidR="00480F3D">
              <w:rPr>
                <w:i/>
                <w:sz w:val="20"/>
              </w:rPr>
              <w:t>Student Guide</w:t>
            </w:r>
            <w:r w:rsidRPr="00AF33C2">
              <w:rPr>
                <w:sz w:val="20"/>
              </w:rPr>
              <w:t xml:space="preserve"> for general policies and add your own rules (no typing while anyone is addressing the class, approved web surfing during break, etc.);</w:t>
            </w:r>
          </w:p>
          <w:p w:rsidR="00785C7B" w:rsidRPr="00AF33C2" w:rsidRDefault="00785C7B" w:rsidP="00785C7B">
            <w:pPr>
              <w:rPr>
                <w:sz w:val="20"/>
              </w:rPr>
            </w:pPr>
            <w:r w:rsidRPr="00AF33C2">
              <w:rPr>
                <w:sz w:val="20"/>
              </w:rPr>
              <w:sym w:font="Webdings" w:char="F063"/>
            </w:r>
            <w:r w:rsidRPr="00AF33C2">
              <w:rPr>
                <w:sz w:val="20"/>
              </w:rPr>
              <w:t xml:space="preserve">  Discussion via </w:t>
            </w:r>
            <w:proofErr w:type="spellStart"/>
            <w:r w:rsidRPr="00AF33C2">
              <w:rPr>
                <w:sz w:val="20"/>
              </w:rPr>
              <w:t>GoPost</w:t>
            </w:r>
            <w:proofErr w:type="spellEnd"/>
            <w:r w:rsidRPr="00AF33C2">
              <w:rPr>
                <w:sz w:val="20"/>
              </w:rPr>
              <w:t xml:space="preserve"> or email listserv outside of class;</w:t>
            </w:r>
          </w:p>
          <w:p w:rsidR="00785C7B" w:rsidRPr="00AF33C2" w:rsidRDefault="00785C7B" w:rsidP="00785C7B">
            <w:pPr>
              <w:rPr>
                <w:sz w:val="20"/>
              </w:rPr>
            </w:pPr>
            <w:r w:rsidRPr="00AF33C2">
              <w:rPr>
                <w:sz w:val="20"/>
              </w:rPr>
              <w:sym w:font="Webdings" w:char="F063"/>
            </w:r>
            <w:r w:rsidRPr="00AF33C2">
              <w:rPr>
                <w:sz w:val="20"/>
              </w:rPr>
              <w:t xml:space="preserve">  Electronic peer review via Word or </w:t>
            </w:r>
            <w:proofErr w:type="spellStart"/>
            <w:r w:rsidRPr="00AF33C2">
              <w:rPr>
                <w:sz w:val="20"/>
              </w:rPr>
              <w:t>GoPost</w:t>
            </w:r>
            <w:proofErr w:type="spellEnd"/>
            <w:r w:rsidRPr="00AF33C2">
              <w:rPr>
                <w:sz w:val="20"/>
              </w:rPr>
              <w:t>;</w:t>
            </w:r>
          </w:p>
          <w:p w:rsidR="00785C7B" w:rsidRPr="00AF33C2" w:rsidRDefault="00785C7B" w:rsidP="00785C7B">
            <w:pPr>
              <w:ind w:left="342" w:hanging="342"/>
              <w:rPr>
                <w:sz w:val="20"/>
              </w:rPr>
            </w:pPr>
            <w:r w:rsidRPr="00AF33C2">
              <w:rPr>
                <w:sz w:val="20"/>
              </w:rPr>
              <w:sym w:font="Webdings" w:char="F063"/>
            </w:r>
            <w:r w:rsidRPr="00AF33C2">
              <w:rPr>
                <w:sz w:val="20"/>
              </w:rPr>
              <w:t xml:space="preserve">  Assignments—will students be allowed to integrate images, hypertext, video, or audio into written essays or create work in these modes?</w:t>
            </w:r>
          </w:p>
          <w:p w:rsidR="00785C7B" w:rsidRDefault="00785C7B" w:rsidP="00785C7B">
            <w:pPr>
              <w:rPr>
                <w:sz w:val="22"/>
              </w:rPr>
            </w:pPr>
          </w:p>
        </w:tc>
      </w:tr>
      <w:tr w:rsidR="00785C7B">
        <w:tblPrEx>
          <w:tblCellMar>
            <w:top w:w="0" w:type="dxa"/>
            <w:bottom w:w="0" w:type="dxa"/>
          </w:tblCellMar>
        </w:tblPrEx>
        <w:trPr>
          <w:cantSplit/>
        </w:trPr>
        <w:tc>
          <w:tcPr>
            <w:tcW w:w="10188" w:type="dxa"/>
            <w:gridSpan w:val="2"/>
          </w:tcPr>
          <w:p w:rsidR="00785C7B" w:rsidRPr="00AF33C2" w:rsidRDefault="00785C7B" w:rsidP="00785C7B">
            <w:pPr>
              <w:pStyle w:val="BodyText"/>
              <w:rPr>
                <w:sz w:val="22"/>
                <w:szCs w:val="24"/>
              </w:rPr>
            </w:pPr>
            <w:r w:rsidRPr="00AF33C2">
              <w:rPr>
                <w:sz w:val="22"/>
              </w:rPr>
              <w:t>Assignment Submission Guidelines</w:t>
            </w:r>
          </w:p>
        </w:tc>
      </w:tr>
      <w:tr w:rsidR="00785C7B">
        <w:tblPrEx>
          <w:tblCellMar>
            <w:top w:w="0" w:type="dxa"/>
            <w:bottom w:w="0" w:type="dxa"/>
          </w:tblCellMar>
        </w:tblPrEx>
        <w:trPr>
          <w:cantSplit/>
        </w:trPr>
        <w:tc>
          <w:tcPr>
            <w:tcW w:w="918" w:type="dxa"/>
          </w:tcPr>
          <w:p w:rsidR="00785C7B" w:rsidRPr="00F051CF" w:rsidRDefault="00785C7B" w:rsidP="00785C7B">
            <w:pPr>
              <w:pStyle w:val="BodyText"/>
              <w:rPr>
                <w:szCs w:val="24"/>
              </w:rPr>
            </w:pPr>
          </w:p>
        </w:tc>
        <w:tc>
          <w:tcPr>
            <w:tcW w:w="9270" w:type="dxa"/>
          </w:tcPr>
          <w:p w:rsidR="00785C7B" w:rsidRPr="00AF33C2" w:rsidRDefault="00785C7B" w:rsidP="00785C7B">
            <w:pPr>
              <w:rPr>
                <w:sz w:val="20"/>
              </w:rPr>
            </w:pPr>
            <w:r w:rsidRPr="00AF33C2">
              <w:rPr>
                <w:sz w:val="20"/>
              </w:rPr>
              <w:sym w:font="Webdings" w:char="F063"/>
            </w:r>
            <w:r w:rsidRPr="00AF33C2">
              <w:rPr>
                <w:sz w:val="20"/>
              </w:rPr>
              <w:t xml:space="preserve">  Assignments submitted on network, Collect It, email, hard copy or combination of forms;</w:t>
            </w:r>
          </w:p>
          <w:p w:rsidR="00785C7B" w:rsidRPr="00AF33C2" w:rsidRDefault="00785C7B">
            <w:pPr>
              <w:rPr>
                <w:sz w:val="20"/>
              </w:rPr>
            </w:pPr>
            <w:r w:rsidRPr="00AF33C2">
              <w:rPr>
                <w:sz w:val="20"/>
              </w:rPr>
              <w:sym w:font="Webdings" w:char="F063"/>
            </w:r>
            <w:r w:rsidRPr="00AF33C2">
              <w:rPr>
                <w:sz w:val="20"/>
              </w:rPr>
              <w:t xml:space="preserve">  What forms of assignment submission are not acceptable (email, for example)</w:t>
            </w:r>
            <w:proofErr w:type="gramStart"/>
            <w:r w:rsidRPr="00AF33C2">
              <w:rPr>
                <w:sz w:val="20"/>
              </w:rPr>
              <w:t>?;</w:t>
            </w:r>
            <w:proofErr w:type="gramEnd"/>
          </w:p>
          <w:p w:rsidR="00785C7B" w:rsidRPr="00AF33C2" w:rsidRDefault="00785C7B">
            <w:pPr>
              <w:rPr>
                <w:sz w:val="20"/>
              </w:rPr>
            </w:pPr>
            <w:r w:rsidRPr="00AF33C2">
              <w:rPr>
                <w:sz w:val="20"/>
              </w:rPr>
              <w:sym w:font="Webdings" w:char="F063"/>
            </w:r>
            <w:r w:rsidRPr="00AF33C2">
              <w:rPr>
                <w:sz w:val="20"/>
              </w:rPr>
              <w:t xml:space="preserve">  What should students do if online tools break down</w:t>
            </w:r>
            <w:proofErr w:type="gramStart"/>
            <w:r w:rsidRPr="00AF33C2">
              <w:rPr>
                <w:sz w:val="20"/>
              </w:rPr>
              <w:t>?;</w:t>
            </w:r>
            <w:proofErr w:type="gramEnd"/>
          </w:p>
          <w:p w:rsidR="00785C7B" w:rsidRPr="00AF33C2" w:rsidRDefault="00785C7B">
            <w:pPr>
              <w:rPr>
                <w:sz w:val="20"/>
              </w:rPr>
            </w:pPr>
            <w:r w:rsidRPr="00AF33C2">
              <w:rPr>
                <w:sz w:val="20"/>
              </w:rPr>
              <w:sym w:font="Webdings" w:char="F063"/>
            </w:r>
            <w:r w:rsidRPr="00AF33C2">
              <w:rPr>
                <w:sz w:val="20"/>
              </w:rPr>
              <w:t xml:space="preserve">  Style specifications—font, font size, margins; </w:t>
            </w:r>
          </w:p>
          <w:p w:rsidR="00785C7B" w:rsidRPr="00AF33C2" w:rsidRDefault="00785C7B">
            <w:pPr>
              <w:rPr>
                <w:sz w:val="20"/>
              </w:rPr>
            </w:pPr>
            <w:r w:rsidRPr="00AF33C2">
              <w:rPr>
                <w:sz w:val="20"/>
              </w:rPr>
              <w:sym w:font="Webdings" w:char="F063"/>
            </w:r>
            <w:r w:rsidRPr="00AF33C2">
              <w:rPr>
                <w:sz w:val="20"/>
              </w:rPr>
              <w:t xml:space="preserve">  File format specification (Word document format, rich text format, etc.);</w:t>
            </w:r>
          </w:p>
          <w:p w:rsidR="00785C7B" w:rsidRPr="00AF33C2" w:rsidRDefault="00785C7B" w:rsidP="00785C7B">
            <w:pPr>
              <w:rPr>
                <w:sz w:val="20"/>
              </w:rPr>
            </w:pPr>
            <w:r w:rsidRPr="00AF33C2">
              <w:rPr>
                <w:sz w:val="20"/>
              </w:rPr>
              <w:sym w:font="Webdings" w:char="F063"/>
            </w:r>
            <w:r w:rsidRPr="00AF33C2">
              <w:rPr>
                <w:sz w:val="20"/>
              </w:rPr>
              <w:t xml:space="preserve">  Late penalties (consider that you are meeting twice weekly, instead of daily);</w:t>
            </w:r>
          </w:p>
          <w:p w:rsidR="00785C7B" w:rsidRPr="00AF33C2" w:rsidRDefault="00785C7B" w:rsidP="00785C7B">
            <w:pPr>
              <w:ind w:left="342" w:hanging="342"/>
              <w:rPr>
                <w:sz w:val="20"/>
              </w:rPr>
            </w:pPr>
            <w:r w:rsidRPr="00AF33C2">
              <w:rPr>
                <w:sz w:val="20"/>
              </w:rPr>
              <w:sym w:font="Webdings" w:char="F063"/>
            </w:r>
            <w:r w:rsidRPr="00AF33C2">
              <w:rPr>
                <w:sz w:val="20"/>
              </w:rPr>
              <w:t xml:space="preserve">  Note on how students can avoid technology glitches (frequent saving, backing up files, etc.)</w:t>
            </w:r>
          </w:p>
          <w:p w:rsidR="00785C7B" w:rsidRDefault="00785C7B" w:rsidP="00785C7B">
            <w:pPr>
              <w:rPr>
                <w:sz w:val="22"/>
              </w:rPr>
            </w:pPr>
          </w:p>
        </w:tc>
      </w:tr>
      <w:tr w:rsidR="00785C7B">
        <w:tblPrEx>
          <w:tblCellMar>
            <w:top w:w="0" w:type="dxa"/>
            <w:bottom w:w="0" w:type="dxa"/>
          </w:tblCellMar>
        </w:tblPrEx>
        <w:trPr>
          <w:cantSplit/>
        </w:trPr>
        <w:tc>
          <w:tcPr>
            <w:tcW w:w="10188" w:type="dxa"/>
            <w:gridSpan w:val="2"/>
          </w:tcPr>
          <w:p w:rsidR="00785C7B" w:rsidRPr="00AF33C2" w:rsidRDefault="00785C7B">
            <w:pPr>
              <w:rPr>
                <w:i/>
                <w:sz w:val="22"/>
                <w:szCs w:val="24"/>
              </w:rPr>
            </w:pPr>
            <w:r w:rsidRPr="00AF33C2">
              <w:rPr>
                <w:b/>
                <w:sz w:val="22"/>
                <w:szCs w:val="24"/>
              </w:rPr>
              <w:t>EWP General Guidelines</w:t>
            </w:r>
          </w:p>
        </w:tc>
      </w:tr>
      <w:tr w:rsidR="00785C7B">
        <w:tblPrEx>
          <w:tblCellMar>
            <w:top w:w="0" w:type="dxa"/>
            <w:bottom w:w="0" w:type="dxa"/>
          </w:tblCellMar>
        </w:tblPrEx>
        <w:trPr>
          <w:cantSplit/>
        </w:trPr>
        <w:tc>
          <w:tcPr>
            <w:tcW w:w="918" w:type="dxa"/>
          </w:tcPr>
          <w:p w:rsidR="00785C7B" w:rsidRDefault="00785C7B">
            <w:pPr>
              <w:rPr>
                <w:b/>
                <w:sz w:val="22"/>
              </w:rPr>
            </w:pPr>
          </w:p>
        </w:tc>
        <w:tc>
          <w:tcPr>
            <w:tcW w:w="9270" w:type="dxa"/>
          </w:tcPr>
          <w:p w:rsidR="00785C7B" w:rsidRPr="00AF33C2" w:rsidRDefault="00785C7B" w:rsidP="00785C7B">
            <w:pPr>
              <w:rPr>
                <w:sz w:val="20"/>
              </w:rPr>
            </w:pPr>
            <w:r w:rsidRPr="00AF33C2">
              <w:rPr>
                <w:sz w:val="20"/>
              </w:rPr>
              <w:sym w:font="Webdings" w:char="F063"/>
            </w:r>
            <w:r w:rsidRPr="00AF33C2">
              <w:rPr>
                <w:sz w:val="20"/>
              </w:rPr>
              <w:t xml:space="preserve">  Plagiarism;</w:t>
            </w:r>
          </w:p>
          <w:p w:rsidR="00785C7B" w:rsidRPr="00AF33C2" w:rsidRDefault="00785C7B" w:rsidP="00785C7B">
            <w:pPr>
              <w:rPr>
                <w:sz w:val="20"/>
              </w:rPr>
            </w:pPr>
            <w:r w:rsidRPr="00AF33C2">
              <w:rPr>
                <w:sz w:val="20"/>
              </w:rPr>
              <w:sym w:font="Webdings" w:char="F063"/>
            </w:r>
            <w:r w:rsidRPr="00AF33C2">
              <w:rPr>
                <w:sz w:val="20"/>
              </w:rPr>
              <w:t xml:space="preserve">  Adding/Dropping/Overloading;</w:t>
            </w:r>
          </w:p>
          <w:p w:rsidR="00785C7B" w:rsidRPr="00AF33C2" w:rsidRDefault="00785C7B" w:rsidP="00785C7B">
            <w:pPr>
              <w:rPr>
                <w:sz w:val="20"/>
              </w:rPr>
            </w:pPr>
            <w:r w:rsidRPr="00AF33C2">
              <w:rPr>
                <w:sz w:val="20"/>
              </w:rPr>
              <w:sym w:font="Webdings" w:char="F063"/>
            </w:r>
            <w:r w:rsidRPr="00AF33C2">
              <w:rPr>
                <w:sz w:val="20"/>
              </w:rPr>
              <w:t xml:space="preserve">  Incompletes;</w:t>
            </w:r>
          </w:p>
          <w:p w:rsidR="00785C7B" w:rsidRPr="00AF33C2" w:rsidRDefault="00785C7B" w:rsidP="00785C7B">
            <w:pPr>
              <w:rPr>
                <w:sz w:val="20"/>
              </w:rPr>
            </w:pPr>
            <w:r w:rsidRPr="00AF33C2">
              <w:rPr>
                <w:sz w:val="20"/>
              </w:rPr>
              <w:sym w:font="Webdings" w:char="F063"/>
            </w:r>
            <w:r w:rsidRPr="00AF33C2">
              <w:rPr>
                <w:sz w:val="20"/>
              </w:rPr>
              <w:t xml:space="preserve">  Grading &amp; grade expectations;</w:t>
            </w:r>
          </w:p>
          <w:p w:rsidR="00785C7B" w:rsidRPr="00AF33C2" w:rsidRDefault="00785C7B" w:rsidP="00785C7B">
            <w:pPr>
              <w:rPr>
                <w:sz w:val="20"/>
              </w:rPr>
            </w:pPr>
            <w:r w:rsidRPr="00AF33C2">
              <w:rPr>
                <w:sz w:val="20"/>
              </w:rPr>
              <w:sym w:font="Webdings" w:char="F063"/>
            </w:r>
            <w:r w:rsidRPr="00AF33C2">
              <w:rPr>
                <w:sz w:val="20"/>
              </w:rPr>
              <w:t xml:space="preserve">  Attendance;</w:t>
            </w:r>
          </w:p>
          <w:p w:rsidR="00785C7B" w:rsidRPr="00AF33C2" w:rsidRDefault="00785C7B" w:rsidP="00785C7B">
            <w:pPr>
              <w:ind w:left="342" w:hanging="342"/>
              <w:rPr>
                <w:sz w:val="20"/>
              </w:rPr>
            </w:pPr>
            <w:r w:rsidRPr="00AF33C2">
              <w:rPr>
                <w:sz w:val="20"/>
              </w:rPr>
              <w:sym w:font="Webdings" w:char="F063"/>
            </w:r>
            <w:r w:rsidRPr="00AF33C2">
              <w:rPr>
                <w:sz w:val="20"/>
              </w:rPr>
              <w:t xml:space="preserve">  Who to contact with issues (CIC ADs are available to assist students with problems in the LAN; Kimberlee and ADs are available to assist with teaching issues, as are 109/110, 111, 121, and 131 Directors and ADs.).  </w:t>
            </w:r>
          </w:p>
          <w:p w:rsidR="00785C7B" w:rsidRDefault="00785C7B" w:rsidP="00785C7B">
            <w:pPr>
              <w:ind w:left="360"/>
              <w:rPr>
                <w:sz w:val="22"/>
              </w:rPr>
            </w:pPr>
          </w:p>
        </w:tc>
      </w:tr>
    </w:tbl>
    <w:p w:rsidR="00785C7B" w:rsidRDefault="00785C7B">
      <w:pPr>
        <w:rPr>
          <w:sz w:val="22"/>
        </w:rPr>
      </w:pPr>
    </w:p>
    <w:sectPr w:rsidR="00785C7B" w:rsidSect="00785C7B">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6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D26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874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8F7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29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980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DA5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2F6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145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8E1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FE4CCD"/>
    <w:multiLevelType w:val="hybridMultilevel"/>
    <w:tmpl w:val="F58A7084"/>
    <w:lvl w:ilvl="0" w:tplc="75BE7BB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B6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C60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5B00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946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B22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1EE3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4CC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7333C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7"/>
  </w:num>
  <w:num w:numId="4">
    <w:abstractNumId w:val="11"/>
  </w:num>
  <w:num w:numId="5">
    <w:abstractNumId w:val="14"/>
  </w:num>
  <w:num w:numId="6">
    <w:abstractNumId w:val="6"/>
  </w:num>
  <w:num w:numId="7">
    <w:abstractNumId w:val="2"/>
  </w:num>
  <w:num w:numId="8">
    <w:abstractNumId w:val="8"/>
  </w:num>
  <w:num w:numId="9">
    <w:abstractNumId w:val="18"/>
  </w:num>
  <w:num w:numId="10">
    <w:abstractNumId w:val="15"/>
  </w:num>
  <w:num w:numId="11">
    <w:abstractNumId w:val="9"/>
  </w:num>
  <w:num w:numId="12">
    <w:abstractNumId w:val="4"/>
  </w:num>
  <w:num w:numId="13">
    <w:abstractNumId w:val="12"/>
  </w:num>
  <w:num w:numId="14">
    <w:abstractNumId w:val="5"/>
  </w:num>
  <w:num w:numId="15">
    <w:abstractNumId w:val="16"/>
  </w:num>
  <w:num w:numId="16">
    <w:abstractNumId w:val="1"/>
  </w:num>
  <w:num w:numId="17">
    <w:abstractNumId w:val="17"/>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7DF2"/>
    <w:rsid w:val="002C3C1F"/>
    <w:rsid w:val="00480F3D"/>
    <w:rsid w:val="00785C7B"/>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CIC Syllabus Checklist</vt:lpstr>
    </vt:vector>
  </TitlesOfParts>
  <Company>Dell Computer Corporation</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Syllabus Checklist</dc:title>
  <dc:creator>E. Laurie George</dc:creator>
  <cp:lastModifiedBy>Kimberlee Gillis-Bridges</cp:lastModifiedBy>
  <cp:revision>2</cp:revision>
  <cp:lastPrinted>2004-03-11T20:29:00Z</cp:lastPrinted>
  <dcterms:created xsi:type="dcterms:W3CDTF">2009-11-19T20:26:00Z</dcterms:created>
  <dcterms:modified xsi:type="dcterms:W3CDTF">2009-11-19T20:26:00Z</dcterms:modified>
</cp:coreProperties>
</file>