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A0" w:rsidRDefault="000615A0" w:rsidP="000615A0">
      <w:pPr>
        <w:pStyle w:val="Heading1"/>
        <w:rPr>
          <w:rFonts w:cs="Arial"/>
          <w:lang w:val="en"/>
        </w:rPr>
      </w:pPr>
      <w:proofErr w:type="spellStart"/>
      <w:r>
        <w:rPr>
          <w:rFonts w:cs="Arial"/>
          <w:lang w:val="en"/>
        </w:rPr>
        <w:t>Trypan</w:t>
      </w:r>
      <w:proofErr w:type="spellEnd"/>
      <w:r>
        <w:rPr>
          <w:rFonts w:cs="Arial"/>
          <w:lang w:val="en"/>
        </w:rPr>
        <w:t xml:space="preserve"> Blue Exclusion</w:t>
      </w:r>
      <w:r>
        <w:rPr>
          <w:rFonts w:cs="Arial"/>
          <w:lang w:val="en"/>
        </w:rPr>
        <w:t xml:space="preserve"> Protocol</w:t>
      </w:r>
    </w:p>
    <w:p w:rsidR="000615A0" w:rsidRPr="000615A0" w:rsidRDefault="000615A0" w:rsidP="000615A0">
      <w:pPr>
        <w:shd w:val="clear" w:color="auto" w:fill="FFFFFF"/>
        <w:spacing w:after="273" w:line="300" w:lineRule="atLeast"/>
        <w:rPr>
          <w:rFonts w:ascii="Arial" w:eastAsia="Times New Roman" w:hAnsi="Arial" w:cs="Arial"/>
          <w:color w:val="333333"/>
          <w:sz w:val="24"/>
          <w:szCs w:val="24"/>
          <w:lang w:val="en"/>
        </w:rPr>
      </w:pPr>
      <w:r w:rsidRPr="000615A0">
        <w:rPr>
          <w:rFonts w:ascii="Arial" w:eastAsia="Times New Roman" w:hAnsi="Arial" w:cs="Arial"/>
          <w:color w:val="333333"/>
          <w:sz w:val="24"/>
          <w:szCs w:val="24"/>
          <w:lang w:val="en"/>
        </w:rPr>
        <w:t xml:space="preserve">The following procedure will enable you to accurately determine the cell viability.  Cell viability is calculated as the number of viable cells divided by the total number of cells within the grids on the </w:t>
      </w:r>
      <w:proofErr w:type="spellStart"/>
      <w:r w:rsidRPr="000615A0">
        <w:rPr>
          <w:rFonts w:ascii="Arial" w:eastAsia="Times New Roman" w:hAnsi="Arial" w:cs="Arial"/>
          <w:color w:val="333333"/>
          <w:sz w:val="24"/>
          <w:szCs w:val="24"/>
          <w:lang w:val="en"/>
        </w:rPr>
        <w:t>hemacytometer</w:t>
      </w:r>
      <w:proofErr w:type="spellEnd"/>
      <w:r w:rsidRPr="000615A0">
        <w:rPr>
          <w:rFonts w:ascii="Arial" w:eastAsia="Times New Roman" w:hAnsi="Arial" w:cs="Arial"/>
          <w:color w:val="333333"/>
          <w:sz w:val="24"/>
          <w:szCs w:val="24"/>
          <w:lang w:val="en"/>
        </w:rPr>
        <w:t xml:space="preserve">.  If cells take up </w:t>
      </w:r>
      <w:proofErr w:type="spellStart"/>
      <w:r w:rsidRPr="000615A0">
        <w:rPr>
          <w:rFonts w:ascii="Arial" w:eastAsia="Times New Roman" w:hAnsi="Arial" w:cs="Arial"/>
          <w:color w:val="333333"/>
          <w:sz w:val="24"/>
          <w:szCs w:val="24"/>
          <w:lang w:val="en"/>
        </w:rPr>
        <w:t>trypan</w:t>
      </w:r>
      <w:proofErr w:type="spellEnd"/>
      <w:r w:rsidRPr="000615A0">
        <w:rPr>
          <w:rFonts w:ascii="Arial" w:eastAsia="Times New Roman" w:hAnsi="Arial" w:cs="Arial"/>
          <w:color w:val="333333"/>
          <w:sz w:val="24"/>
          <w:szCs w:val="24"/>
          <w:lang w:val="en"/>
        </w:rPr>
        <w:t xml:space="preserve"> blue, they are considered non-viable.</w:t>
      </w:r>
    </w:p>
    <w:p w:rsidR="000615A0" w:rsidRPr="000615A0" w:rsidRDefault="000615A0" w:rsidP="000615A0">
      <w:pPr>
        <w:numPr>
          <w:ilvl w:val="0"/>
          <w:numId w:val="1"/>
        </w:numPr>
        <w:shd w:val="clear" w:color="auto" w:fill="FFFFFF"/>
        <w:spacing w:before="100" w:beforeAutospacing="1" w:after="100" w:afterAutospacing="1" w:line="300" w:lineRule="atLeast"/>
        <w:ind w:left="225"/>
        <w:rPr>
          <w:rFonts w:ascii="Arial" w:eastAsia="Times New Roman" w:hAnsi="Arial" w:cs="Arial"/>
          <w:color w:val="333333"/>
          <w:sz w:val="24"/>
          <w:szCs w:val="24"/>
          <w:lang w:val="en"/>
        </w:rPr>
      </w:pPr>
      <w:r w:rsidRPr="000615A0">
        <w:rPr>
          <w:rFonts w:ascii="Arial" w:eastAsia="Times New Roman" w:hAnsi="Arial" w:cs="Arial"/>
          <w:color w:val="333333"/>
          <w:sz w:val="24"/>
          <w:szCs w:val="24"/>
          <w:lang w:val="en"/>
        </w:rPr>
        <w:t xml:space="preserve">Determine the cell density of your cell line suspension using a </w:t>
      </w:r>
      <w:proofErr w:type="spellStart"/>
      <w:r w:rsidRPr="000615A0">
        <w:rPr>
          <w:rFonts w:ascii="Arial" w:eastAsia="Times New Roman" w:hAnsi="Arial" w:cs="Arial"/>
          <w:color w:val="333333"/>
          <w:sz w:val="24"/>
          <w:szCs w:val="24"/>
          <w:lang w:val="en"/>
        </w:rPr>
        <w:t>hemacytometer</w:t>
      </w:r>
      <w:proofErr w:type="spellEnd"/>
      <w:r w:rsidRPr="000615A0">
        <w:rPr>
          <w:rFonts w:ascii="Arial" w:eastAsia="Times New Roman" w:hAnsi="Arial" w:cs="Arial"/>
          <w:color w:val="333333"/>
          <w:sz w:val="24"/>
          <w:szCs w:val="24"/>
          <w:lang w:val="en"/>
        </w:rPr>
        <w:t>.</w:t>
      </w:r>
    </w:p>
    <w:p w:rsidR="000615A0" w:rsidRPr="000615A0" w:rsidRDefault="000615A0" w:rsidP="000615A0">
      <w:pPr>
        <w:numPr>
          <w:ilvl w:val="0"/>
          <w:numId w:val="1"/>
        </w:numPr>
        <w:shd w:val="clear" w:color="auto" w:fill="FFFFFF"/>
        <w:spacing w:before="100" w:beforeAutospacing="1" w:after="100" w:afterAutospacing="1" w:line="300" w:lineRule="atLeast"/>
        <w:ind w:left="225"/>
        <w:rPr>
          <w:rFonts w:ascii="Arial" w:eastAsia="Times New Roman" w:hAnsi="Arial" w:cs="Arial"/>
          <w:color w:val="333333"/>
          <w:sz w:val="24"/>
          <w:szCs w:val="24"/>
          <w:lang w:val="en"/>
        </w:rPr>
      </w:pPr>
      <w:r w:rsidRPr="000615A0">
        <w:rPr>
          <w:rFonts w:ascii="Arial" w:eastAsia="Times New Roman" w:hAnsi="Arial" w:cs="Arial"/>
          <w:color w:val="333333"/>
          <w:sz w:val="24"/>
          <w:szCs w:val="24"/>
          <w:lang w:val="en"/>
        </w:rPr>
        <w:t xml:space="preserve">Prepare a 0.4% solution of </w:t>
      </w:r>
      <w:proofErr w:type="spellStart"/>
      <w:r w:rsidRPr="000615A0">
        <w:rPr>
          <w:rFonts w:ascii="Arial" w:eastAsia="Times New Roman" w:hAnsi="Arial" w:cs="Arial"/>
          <w:color w:val="333333"/>
          <w:sz w:val="24"/>
          <w:szCs w:val="24"/>
          <w:lang w:val="en"/>
        </w:rPr>
        <w:t>trypan</w:t>
      </w:r>
      <w:proofErr w:type="spellEnd"/>
      <w:r w:rsidRPr="000615A0">
        <w:rPr>
          <w:rFonts w:ascii="Arial" w:eastAsia="Times New Roman" w:hAnsi="Arial" w:cs="Arial"/>
          <w:color w:val="333333"/>
          <w:sz w:val="24"/>
          <w:szCs w:val="24"/>
          <w:lang w:val="en"/>
        </w:rPr>
        <w:t xml:space="preserve"> blue in buffered isotonic salt solution, pH 7.2 to 7.3 (i.e., phosphate-buffered saline).</w:t>
      </w:r>
    </w:p>
    <w:p w:rsidR="000615A0" w:rsidRPr="000615A0" w:rsidRDefault="000615A0" w:rsidP="000615A0">
      <w:pPr>
        <w:numPr>
          <w:ilvl w:val="0"/>
          <w:numId w:val="1"/>
        </w:numPr>
        <w:shd w:val="clear" w:color="auto" w:fill="FFFFFF"/>
        <w:spacing w:before="100" w:beforeAutospacing="1" w:after="100" w:afterAutospacing="1" w:line="300" w:lineRule="atLeast"/>
        <w:ind w:left="225"/>
        <w:rPr>
          <w:rFonts w:ascii="Arial" w:eastAsia="Times New Roman" w:hAnsi="Arial" w:cs="Arial"/>
          <w:color w:val="333333"/>
          <w:sz w:val="24"/>
          <w:szCs w:val="24"/>
          <w:lang w:val="en"/>
        </w:rPr>
      </w:pPr>
      <w:r w:rsidRPr="000615A0">
        <w:rPr>
          <w:rFonts w:ascii="Arial" w:eastAsia="Times New Roman" w:hAnsi="Arial" w:cs="Arial"/>
          <w:color w:val="333333"/>
          <w:sz w:val="24"/>
          <w:szCs w:val="24"/>
          <w:lang w:val="en"/>
        </w:rPr>
        <w:t xml:space="preserve">Add 0.1 mL of </w:t>
      </w:r>
      <w:proofErr w:type="spellStart"/>
      <w:r w:rsidRPr="000615A0">
        <w:rPr>
          <w:rFonts w:ascii="Arial" w:eastAsia="Times New Roman" w:hAnsi="Arial" w:cs="Arial"/>
          <w:color w:val="333333"/>
          <w:sz w:val="24"/>
          <w:szCs w:val="24"/>
          <w:lang w:val="en"/>
        </w:rPr>
        <w:t>trypan</w:t>
      </w:r>
      <w:proofErr w:type="spellEnd"/>
      <w:r w:rsidRPr="000615A0">
        <w:rPr>
          <w:rFonts w:ascii="Arial" w:eastAsia="Times New Roman" w:hAnsi="Arial" w:cs="Arial"/>
          <w:color w:val="333333"/>
          <w:sz w:val="24"/>
          <w:szCs w:val="24"/>
          <w:lang w:val="en"/>
        </w:rPr>
        <w:t xml:space="preserve"> blue stock solution to 1 mL of cells.</w:t>
      </w:r>
    </w:p>
    <w:p w:rsidR="000615A0" w:rsidRPr="000615A0" w:rsidRDefault="000615A0" w:rsidP="000615A0">
      <w:pPr>
        <w:numPr>
          <w:ilvl w:val="0"/>
          <w:numId w:val="1"/>
        </w:numPr>
        <w:shd w:val="clear" w:color="auto" w:fill="FFFFFF"/>
        <w:spacing w:before="100" w:beforeAutospacing="1" w:after="100" w:afterAutospacing="1" w:line="300" w:lineRule="atLeast"/>
        <w:ind w:left="225"/>
        <w:rPr>
          <w:rFonts w:ascii="Arial" w:eastAsia="Times New Roman" w:hAnsi="Arial" w:cs="Arial"/>
          <w:color w:val="333333"/>
          <w:sz w:val="24"/>
          <w:szCs w:val="24"/>
          <w:lang w:val="en"/>
        </w:rPr>
      </w:pPr>
      <w:r w:rsidRPr="000615A0">
        <w:rPr>
          <w:rFonts w:ascii="Arial" w:eastAsia="Times New Roman" w:hAnsi="Arial" w:cs="Arial"/>
          <w:color w:val="333333"/>
          <w:sz w:val="24"/>
          <w:szCs w:val="24"/>
          <w:lang w:val="en"/>
        </w:rPr>
        <w:t xml:space="preserve">Load a </w:t>
      </w:r>
      <w:proofErr w:type="spellStart"/>
      <w:r w:rsidRPr="000615A0">
        <w:rPr>
          <w:rFonts w:ascii="Arial" w:eastAsia="Times New Roman" w:hAnsi="Arial" w:cs="Arial"/>
          <w:color w:val="333333"/>
          <w:sz w:val="24"/>
          <w:szCs w:val="24"/>
          <w:lang w:val="en"/>
        </w:rPr>
        <w:t>hemacytometer</w:t>
      </w:r>
      <w:proofErr w:type="spellEnd"/>
      <w:r w:rsidRPr="000615A0">
        <w:rPr>
          <w:rFonts w:ascii="Arial" w:eastAsia="Times New Roman" w:hAnsi="Arial" w:cs="Arial"/>
          <w:color w:val="333333"/>
          <w:sz w:val="24"/>
          <w:szCs w:val="24"/>
          <w:lang w:val="en"/>
        </w:rPr>
        <w:t xml:space="preserve"> and examine immediately under a microscope at low magnification.</w:t>
      </w:r>
    </w:p>
    <w:p w:rsidR="000615A0" w:rsidRPr="000615A0" w:rsidRDefault="000615A0" w:rsidP="000615A0">
      <w:pPr>
        <w:numPr>
          <w:ilvl w:val="0"/>
          <w:numId w:val="1"/>
        </w:numPr>
        <w:shd w:val="clear" w:color="auto" w:fill="FFFFFF"/>
        <w:spacing w:before="100" w:beforeAutospacing="1" w:after="100" w:afterAutospacing="1" w:line="300" w:lineRule="atLeast"/>
        <w:ind w:left="225"/>
        <w:rPr>
          <w:rFonts w:ascii="Arial" w:eastAsia="Times New Roman" w:hAnsi="Arial" w:cs="Arial"/>
          <w:color w:val="333333"/>
          <w:sz w:val="24"/>
          <w:szCs w:val="24"/>
          <w:lang w:val="en"/>
        </w:rPr>
      </w:pPr>
      <w:r w:rsidRPr="000615A0">
        <w:rPr>
          <w:rFonts w:ascii="Arial" w:eastAsia="Times New Roman" w:hAnsi="Arial" w:cs="Arial"/>
          <w:color w:val="333333"/>
          <w:sz w:val="24"/>
          <w:szCs w:val="24"/>
          <w:lang w:val="en"/>
        </w:rPr>
        <w:t>Count the number of blue staining cells and the number of total cells.  Cell viability should be at least 95% for healthy log-phase cultures.</w:t>
      </w:r>
    </w:p>
    <w:p w:rsidR="000615A0" w:rsidRPr="000615A0" w:rsidRDefault="000615A0" w:rsidP="000615A0">
      <w:pPr>
        <w:shd w:val="clear" w:color="auto" w:fill="FFFFFF"/>
        <w:spacing w:line="300" w:lineRule="atLeast"/>
        <w:rPr>
          <w:rFonts w:ascii="Arial" w:eastAsia="Times New Roman" w:hAnsi="Arial" w:cs="Arial"/>
          <w:color w:val="333333"/>
          <w:sz w:val="24"/>
          <w:szCs w:val="24"/>
          <w:lang w:val="en"/>
        </w:rPr>
      </w:pPr>
      <w:r w:rsidRPr="000615A0">
        <w:rPr>
          <w:rFonts w:ascii="Arial" w:eastAsia="Times New Roman" w:hAnsi="Arial" w:cs="Arial"/>
          <w:color w:val="333333"/>
          <w:sz w:val="24"/>
          <w:szCs w:val="24"/>
          <w:lang w:val="en"/>
        </w:rPr>
        <w:t>% viable cells = [1.00 – (Number of blue cells ÷ Number of total cells)] × 100</w:t>
      </w:r>
      <w:r w:rsidRPr="000615A0">
        <w:rPr>
          <w:rFonts w:ascii="Arial" w:eastAsia="Times New Roman" w:hAnsi="Arial" w:cs="Arial"/>
          <w:color w:val="333333"/>
          <w:sz w:val="24"/>
          <w:szCs w:val="24"/>
          <w:lang w:val="en"/>
        </w:rPr>
        <w:br/>
      </w:r>
      <w:r w:rsidRPr="000615A0">
        <w:rPr>
          <w:rFonts w:ascii="Arial" w:eastAsia="Times New Roman" w:hAnsi="Arial" w:cs="Arial"/>
          <w:color w:val="333333"/>
          <w:sz w:val="24"/>
          <w:szCs w:val="24"/>
          <w:lang w:val="en"/>
        </w:rPr>
        <w:br/>
      </w:r>
      <w:proofErr w:type="gramStart"/>
      <w:r w:rsidRPr="000615A0">
        <w:rPr>
          <w:rFonts w:ascii="Arial" w:eastAsia="Times New Roman" w:hAnsi="Arial" w:cs="Arial"/>
          <w:color w:val="333333"/>
          <w:sz w:val="24"/>
          <w:szCs w:val="24"/>
          <w:lang w:val="en"/>
        </w:rPr>
        <w:t>To</w:t>
      </w:r>
      <w:proofErr w:type="gramEnd"/>
      <w:r w:rsidRPr="000615A0">
        <w:rPr>
          <w:rFonts w:ascii="Arial" w:eastAsia="Times New Roman" w:hAnsi="Arial" w:cs="Arial"/>
          <w:color w:val="333333"/>
          <w:sz w:val="24"/>
          <w:szCs w:val="24"/>
          <w:lang w:val="en"/>
        </w:rPr>
        <w:t xml:space="preserve"> calculate the number of viable cells per mL of culture, use the formula below.  Remember to correct for the dilution factor.</w:t>
      </w:r>
      <w:r w:rsidRPr="000615A0">
        <w:rPr>
          <w:rFonts w:ascii="Arial" w:eastAsia="Times New Roman" w:hAnsi="Arial" w:cs="Arial"/>
          <w:color w:val="333333"/>
          <w:sz w:val="24"/>
          <w:szCs w:val="24"/>
          <w:lang w:val="en"/>
        </w:rPr>
        <w:br/>
      </w:r>
      <w:r w:rsidRPr="000615A0">
        <w:rPr>
          <w:rFonts w:ascii="Arial" w:eastAsia="Times New Roman" w:hAnsi="Arial" w:cs="Arial"/>
          <w:color w:val="333333"/>
          <w:sz w:val="24"/>
          <w:szCs w:val="24"/>
          <w:lang w:val="en"/>
        </w:rPr>
        <w:br/>
        <w:t>Number of viable cells × 10</w:t>
      </w:r>
      <w:r w:rsidRPr="000615A0">
        <w:rPr>
          <w:rFonts w:ascii="Arial" w:eastAsia="Times New Roman" w:hAnsi="Arial" w:cs="Arial"/>
          <w:color w:val="333333"/>
          <w:sz w:val="24"/>
          <w:szCs w:val="24"/>
          <w:vertAlign w:val="superscript"/>
          <w:lang w:val="en"/>
        </w:rPr>
        <w:t>4</w:t>
      </w:r>
      <w:r w:rsidRPr="000615A0">
        <w:rPr>
          <w:rFonts w:ascii="Arial" w:eastAsia="Times New Roman" w:hAnsi="Arial" w:cs="Arial"/>
          <w:color w:val="333333"/>
          <w:sz w:val="24"/>
          <w:szCs w:val="24"/>
          <w:lang w:val="en"/>
        </w:rPr>
        <w:t xml:space="preserve"> × 1.1 = cells/mL culture</w:t>
      </w:r>
    </w:p>
    <w:p w:rsidR="00202E6E" w:rsidRDefault="00202E6E"/>
    <w:p w:rsidR="000615A0" w:rsidRDefault="000615A0"/>
    <w:p w:rsidR="000615A0" w:rsidRDefault="000615A0"/>
    <w:p w:rsidR="000615A0" w:rsidRDefault="000615A0"/>
    <w:p w:rsidR="000615A0" w:rsidRDefault="000615A0"/>
    <w:p w:rsidR="000615A0" w:rsidRDefault="000615A0"/>
    <w:p w:rsidR="000615A0" w:rsidRDefault="000615A0"/>
    <w:p w:rsidR="000615A0" w:rsidRDefault="000615A0"/>
    <w:p w:rsidR="000615A0" w:rsidRDefault="000615A0"/>
    <w:p w:rsidR="000615A0" w:rsidRDefault="000615A0"/>
    <w:p w:rsidR="000615A0" w:rsidRDefault="000615A0"/>
    <w:p w:rsidR="000615A0" w:rsidRDefault="000615A0"/>
    <w:p w:rsidR="000615A0" w:rsidRDefault="000615A0"/>
    <w:p w:rsidR="000615A0" w:rsidRDefault="000615A0"/>
    <w:p w:rsidR="000615A0" w:rsidRDefault="000615A0">
      <w:r>
        <w:t xml:space="preserve">Taken from: </w:t>
      </w:r>
      <w:hyperlink r:id="rId6" w:history="1">
        <w:r w:rsidRPr="003C13BE">
          <w:rPr>
            <w:rStyle w:val="Hyperlink"/>
          </w:rPr>
          <w:t>http://www.lifetechnologies.com/us/en/home/references/gibco-cell-culture-basics/cell-culture-protocols/trypan-blue-exclusion.html</w:t>
        </w:r>
      </w:hyperlink>
      <w:r>
        <w:t xml:space="preserve"> </w:t>
      </w:r>
      <w:bookmarkStart w:id="0" w:name="_GoBack"/>
      <w:bookmarkEnd w:id="0"/>
    </w:p>
    <w:sectPr w:rsidR="000615A0" w:rsidSect="000615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B55"/>
    <w:multiLevelType w:val="multilevel"/>
    <w:tmpl w:val="F776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A0"/>
    <w:rsid w:val="000615A0"/>
    <w:rsid w:val="00202E6E"/>
    <w:rsid w:val="0040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15A0"/>
    <w:pPr>
      <w:spacing w:before="75" w:after="225" w:line="360" w:lineRule="atLeast"/>
      <w:outlineLvl w:val="1"/>
    </w:pPr>
    <w:rPr>
      <w:rFonts w:ascii="inherit" w:eastAsia="Times New Roman" w:hAnsi="inherit"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5A0"/>
    <w:rPr>
      <w:rFonts w:ascii="inherit" w:eastAsia="Times New Roman" w:hAnsi="inherit" w:cs="Times New Roman"/>
      <w:b/>
      <w:bCs/>
      <w:sz w:val="30"/>
      <w:szCs w:val="30"/>
    </w:rPr>
  </w:style>
  <w:style w:type="paragraph" w:styleId="NormalWeb">
    <w:name w:val="Normal (Web)"/>
    <w:basedOn w:val="Normal"/>
    <w:uiPriority w:val="99"/>
    <w:semiHidden/>
    <w:unhideWhenUsed/>
    <w:rsid w:val="000615A0"/>
    <w:pPr>
      <w:spacing w:after="273"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15A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1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15A0"/>
    <w:pPr>
      <w:spacing w:before="75" w:after="225" w:line="360" w:lineRule="atLeast"/>
      <w:outlineLvl w:val="1"/>
    </w:pPr>
    <w:rPr>
      <w:rFonts w:ascii="inherit" w:eastAsia="Times New Roman" w:hAnsi="inherit"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5A0"/>
    <w:rPr>
      <w:rFonts w:ascii="inherit" w:eastAsia="Times New Roman" w:hAnsi="inherit" w:cs="Times New Roman"/>
      <w:b/>
      <w:bCs/>
      <w:sz w:val="30"/>
      <w:szCs w:val="30"/>
    </w:rPr>
  </w:style>
  <w:style w:type="paragraph" w:styleId="NormalWeb">
    <w:name w:val="Normal (Web)"/>
    <w:basedOn w:val="Normal"/>
    <w:uiPriority w:val="99"/>
    <w:semiHidden/>
    <w:unhideWhenUsed/>
    <w:rsid w:val="000615A0"/>
    <w:pPr>
      <w:spacing w:after="273"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15A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1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4101">
      <w:bodyDiv w:val="1"/>
      <w:marLeft w:val="0"/>
      <w:marRight w:val="0"/>
      <w:marTop w:val="0"/>
      <w:marBottom w:val="0"/>
      <w:divBdr>
        <w:top w:val="none" w:sz="0" w:space="0" w:color="auto"/>
        <w:left w:val="none" w:sz="0" w:space="0" w:color="auto"/>
        <w:bottom w:val="none" w:sz="0" w:space="0" w:color="auto"/>
        <w:right w:val="none" w:sz="0" w:space="0" w:color="auto"/>
      </w:divBdr>
      <w:divsChild>
        <w:div w:id="1299995175">
          <w:marLeft w:val="0"/>
          <w:marRight w:val="0"/>
          <w:marTop w:val="0"/>
          <w:marBottom w:val="0"/>
          <w:divBdr>
            <w:top w:val="none" w:sz="0" w:space="0" w:color="auto"/>
            <w:left w:val="none" w:sz="0" w:space="0" w:color="auto"/>
            <w:bottom w:val="none" w:sz="0" w:space="0" w:color="auto"/>
            <w:right w:val="none" w:sz="0" w:space="0" w:color="auto"/>
          </w:divBdr>
          <w:divsChild>
            <w:div w:id="1951470859">
              <w:marLeft w:val="0"/>
              <w:marRight w:val="0"/>
              <w:marTop w:val="0"/>
              <w:marBottom w:val="0"/>
              <w:divBdr>
                <w:top w:val="none" w:sz="0" w:space="0" w:color="auto"/>
                <w:left w:val="none" w:sz="0" w:space="0" w:color="auto"/>
                <w:bottom w:val="single" w:sz="6" w:space="0" w:color="D8D8D8"/>
                <w:right w:val="none" w:sz="0" w:space="0" w:color="auto"/>
              </w:divBdr>
              <w:divsChild>
                <w:div w:id="1560553771">
                  <w:marLeft w:val="0"/>
                  <w:marRight w:val="0"/>
                  <w:marTop w:val="0"/>
                  <w:marBottom w:val="300"/>
                  <w:divBdr>
                    <w:top w:val="none" w:sz="0" w:space="0" w:color="auto"/>
                    <w:left w:val="none" w:sz="0" w:space="0" w:color="auto"/>
                    <w:bottom w:val="none" w:sz="0" w:space="0" w:color="auto"/>
                    <w:right w:val="none" w:sz="0" w:space="0" w:color="auto"/>
                  </w:divBdr>
                  <w:divsChild>
                    <w:div w:id="1502114022">
                      <w:marLeft w:val="0"/>
                      <w:marRight w:val="0"/>
                      <w:marTop w:val="0"/>
                      <w:marBottom w:val="0"/>
                      <w:divBdr>
                        <w:top w:val="none" w:sz="0" w:space="0" w:color="auto"/>
                        <w:left w:val="none" w:sz="0" w:space="0" w:color="auto"/>
                        <w:bottom w:val="none" w:sz="0" w:space="0" w:color="auto"/>
                        <w:right w:val="none" w:sz="0" w:space="0" w:color="auto"/>
                      </w:divBdr>
                      <w:divsChild>
                        <w:div w:id="768739474">
                          <w:marLeft w:val="-150"/>
                          <w:marRight w:val="0"/>
                          <w:marTop w:val="0"/>
                          <w:marBottom w:val="0"/>
                          <w:divBdr>
                            <w:top w:val="none" w:sz="0" w:space="0" w:color="auto"/>
                            <w:left w:val="none" w:sz="0" w:space="0" w:color="auto"/>
                            <w:bottom w:val="none" w:sz="0" w:space="0" w:color="auto"/>
                            <w:right w:val="none" w:sz="0" w:space="0" w:color="auto"/>
                          </w:divBdr>
                          <w:divsChild>
                            <w:div w:id="532764936">
                              <w:marLeft w:val="0"/>
                              <w:marRight w:val="0"/>
                              <w:marTop w:val="0"/>
                              <w:marBottom w:val="0"/>
                              <w:divBdr>
                                <w:top w:val="none" w:sz="0" w:space="0" w:color="auto"/>
                                <w:left w:val="none" w:sz="0" w:space="0" w:color="auto"/>
                                <w:bottom w:val="none" w:sz="0" w:space="0" w:color="auto"/>
                                <w:right w:val="none" w:sz="0" w:space="0" w:color="auto"/>
                              </w:divBdr>
                              <w:divsChild>
                                <w:div w:id="1276474817">
                                  <w:marLeft w:val="0"/>
                                  <w:marRight w:val="0"/>
                                  <w:marTop w:val="0"/>
                                  <w:marBottom w:val="0"/>
                                  <w:divBdr>
                                    <w:top w:val="none" w:sz="0" w:space="0" w:color="auto"/>
                                    <w:left w:val="none" w:sz="0" w:space="0" w:color="auto"/>
                                    <w:bottom w:val="none" w:sz="0" w:space="0" w:color="auto"/>
                                    <w:right w:val="none" w:sz="0" w:space="0" w:color="auto"/>
                                  </w:divBdr>
                                  <w:divsChild>
                                    <w:div w:id="1869559659">
                                      <w:marLeft w:val="0"/>
                                      <w:marRight w:val="0"/>
                                      <w:marTop w:val="0"/>
                                      <w:marBottom w:val="0"/>
                                      <w:divBdr>
                                        <w:top w:val="none" w:sz="0" w:space="0" w:color="auto"/>
                                        <w:left w:val="none" w:sz="0" w:space="0" w:color="auto"/>
                                        <w:bottom w:val="none" w:sz="0" w:space="0" w:color="auto"/>
                                        <w:right w:val="none" w:sz="0" w:space="0" w:color="auto"/>
                                      </w:divBdr>
                                    </w:div>
                                    <w:div w:id="14078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997298">
      <w:bodyDiv w:val="1"/>
      <w:marLeft w:val="0"/>
      <w:marRight w:val="0"/>
      <w:marTop w:val="0"/>
      <w:marBottom w:val="0"/>
      <w:divBdr>
        <w:top w:val="none" w:sz="0" w:space="0" w:color="auto"/>
        <w:left w:val="none" w:sz="0" w:space="0" w:color="auto"/>
        <w:bottom w:val="none" w:sz="0" w:space="0" w:color="auto"/>
        <w:right w:val="none" w:sz="0" w:space="0" w:color="auto"/>
      </w:divBdr>
      <w:divsChild>
        <w:div w:id="168523666">
          <w:marLeft w:val="0"/>
          <w:marRight w:val="0"/>
          <w:marTop w:val="0"/>
          <w:marBottom w:val="0"/>
          <w:divBdr>
            <w:top w:val="none" w:sz="0" w:space="0" w:color="auto"/>
            <w:left w:val="none" w:sz="0" w:space="0" w:color="auto"/>
            <w:bottom w:val="none" w:sz="0" w:space="0" w:color="auto"/>
            <w:right w:val="none" w:sz="0" w:space="0" w:color="auto"/>
          </w:divBdr>
          <w:divsChild>
            <w:div w:id="465855195">
              <w:marLeft w:val="0"/>
              <w:marRight w:val="0"/>
              <w:marTop w:val="0"/>
              <w:marBottom w:val="0"/>
              <w:divBdr>
                <w:top w:val="none" w:sz="0" w:space="0" w:color="auto"/>
                <w:left w:val="none" w:sz="0" w:space="0" w:color="auto"/>
                <w:bottom w:val="single" w:sz="6" w:space="0" w:color="D8D8D8"/>
                <w:right w:val="none" w:sz="0" w:space="0" w:color="auto"/>
              </w:divBdr>
              <w:divsChild>
                <w:div w:id="1713460651">
                  <w:marLeft w:val="0"/>
                  <w:marRight w:val="0"/>
                  <w:marTop w:val="0"/>
                  <w:marBottom w:val="0"/>
                  <w:divBdr>
                    <w:top w:val="none" w:sz="0" w:space="0" w:color="auto"/>
                    <w:left w:val="none" w:sz="0" w:space="0" w:color="auto"/>
                    <w:bottom w:val="none" w:sz="0" w:space="0" w:color="auto"/>
                    <w:right w:val="none" w:sz="0" w:space="0" w:color="auto"/>
                  </w:divBdr>
                  <w:divsChild>
                    <w:div w:id="934745699">
                      <w:marLeft w:val="-150"/>
                      <w:marRight w:val="0"/>
                      <w:marTop w:val="0"/>
                      <w:marBottom w:val="0"/>
                      <w:divBdr>
                        <w:top w:val="none" w:sz="0" w:space="0" w:color="auto"/>
                        <w:left w:val="none" w:sz="0" w:space="0" w:color="auto"/>
                        <w:bottom w:val="none" w:sz="0" w:space="0" w:color="auto"/>
                        <w:right w:val="none" w:sz="0" w:space="0" w:color="auto"/>
                      </w:divBdr>
                      <w:divsChild>
                        <w:div w:id="445127550">
                          <w:marLeft w:val="0"/>
                          <w:marRight w:val="0"/>
                          <w:marTop w:val="0"/>
                          <w:marBottom w:val="0"/>
                          <w:divBdr>
                            <w:top w:val="none" w:sz="0" w:space="0" w:color="auto"/>
                            <w:left w:val="none" w:sz="0" w:space="0" w:color="auto"/>
                            <w:bottom w:val="none" w:sz="0" w:space="0" w:color="auto"/>
                            <w:right w:val="none" w:sz="0" w:space="0" w:color="auto"/>
                          </w:divBdr>
                          <w:divsChild>
                            <w:div w:id="543980917">
                              <w:marLeft w:val="0"/>
                              <w:marRight w:val="0"/>
                              <w:marTop w:val="0"/>
                              <w:marBottom w:val="0"/>
                              <w:divBdr>
                                <w:top w:val="none" w:sz="0" w:space="0" w:color="auto"/>
                                <w:left w:val="none" w:sz="0" w:space="0" w:color="auto"/>
                                <w:bottom w:val="none" w:sz="0" w:space="0" w:color="auto"/>
                                <w:right w:val="none" w:sz="0" w:space="0" w:color="auto"/>
                              </w:divBdr>
                              <w:divsChild>
                                <w:div w:id="18957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technologies.com/us/en/home/references/gibco-cell-culture-basics/cell-culture-protocols/trypan-blue-exclus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edkelly</dc:creator>
  <cp:lastModifiedBy>edkelly</cp:lastModifiedBy>
  <cp:revision>1</cp:revision>
  <dcterms:created xsi:type="dcterms:W3CDTF">2015-08-06T20:33:00Z</dcterms:created>
  <dcterms:modified xsi:type="dcterms:W3CDTF">2015-08-06T20:35:00Z</dcterms:modified>
</cp:coreProperties>
</file>