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06BB6" w14:textId="524AD976" w:rsidR="002B5808" w:rsidRDefault="002B5808" w:rsidP="002B5808">
      <w:r>
        <w:rPr>
          <w:b/>
        </w:rPr>
        <w:t>Date:</w:t>
      </w:r>
      <w:r>
        <w:rPr>
          <w:b/>
        </w:rPr>
        <w:tab/>
      </w:r>
      <w:r>
        <w:rPr>
          <w:b/>
        </w:rPr>
        <w:tab/>
      </w:r>
      <w:r w:rsidR="001D7DA7">
        <w:rPr>
          <w:b/>
        </w:rPr>
        <w:t>February 25</w:t>
      </w:r>
      <w:r w:rsidR="0061457D">
        <w:rPr>
          <w:b/>
        </w:rPr>
        <w:t>, 2016</w:t>
      </w:r>
      <w:r w:rsidR="00347545">
        <w:rPr>
          <w:b/>
        </w:rPr>
        <w:tab/>
      </w:r>
    </w:p>
    <w:p w14:paraId="1790F55F" w14:textId="0A4639BB" w:rsidR="009F6F51" w:rsidRDefault="002B5808" w:rsidP="00F64E4B">
      <w:pPr>
        <w:ind w:left="1440" w:hanging="1440"/>
        <w:rPr>
          <w:b/>
        </w:rPr>
      </w:pPr>
      <w:r>
        <w:rPr>
          <w:b/>
        </w:rPr>
        <w:t>Subject:</w:t>
      </w:r>
      <w:r>
        <w:rPr>
          <w:b/>
        </w:rPr>
        <w:tab/>
      </w:r>
      <w:r w:rsidR="000A565F">
        <w:rPr>
          <w:b/>
        </w:rPr>
        <w:t xml:space="preserve">2016 </w:t>
      </w:r>
      <w:r w:rsidR="00347545">
        <w:rPr>
          <w:b/>
        </w:rPr>
        <w:t xml:space="preserve">Supplemental </w:t>
      </w:r>
      <w:r w:rsidR="00347545" w:rsidRPr="00347545">
        <w:rPr>
          <w:b/>
        </w:rPr>
        <w:t>B</w:t>
      </w:r>
      <w:r w:rsidR="00347545">
        <w:rPr>
          <w:b/>
        </w:rPr>
        <w:t>udget Proposal</w:t>
      </w:r>
      <w:r w:rsidR="000A565F">
        <w:rPr>
          <w:b/>
        </w:rPr>
        <w:t>s</w:t>
      </w:r>
      <w:r w:rsidR="00347545">
        <w:rPr>
          <w:b/>
        </w:rPr>
        <w:t xml:space="preserve"> (Making Changes to the 201</w:t>
      </w:r>
      <w:r w:rsidR="00F564DC">
        <w:rPr>
          <w:b/>
        </w:rPr>
        <w:t>5-17</w:t>
      </w:r>
      <w:r w:rsidR="00347545">
        <w:rPr>
          <w:b/>
        </w:rPr>
        <w:t xml:space="preserve"> Biennial </w:t>
      </w:r>
      <w:r w:rsidR="00215DA0">
        <w:rPr>
          <w:b/>
        </w:rPr>
        <w:t>Capital and Operati</w:t>
      </w:r>
      <w:r w:rsidR="009F6F51">
        <w:rPr>
          <w:b/>
        </w:rPr>
        <w:t>n</w:t>
      </w:r>
      <w:r w:rsidR="00215DA0">
        <w:rPr>
          <w:b/>
        </w:rPr>
        <w:t xml:space="preserve">g </w:t>
      </w:r>
      <w:r w:rsidR="00347545">
        <w:rPr>
          <w:b/>
        </w:rPr>
        <w:t>Budget</w:t>
      </w:r>
      <w:r w:rsidR="00215DA0">
        <w:rPr>
          <w:b/>
        </w:rPr>
        <w:t>s</w:t>
      </w:r>
      <w:r w:rsidR="00347545">
        <w:rPr>
          <w:b/>
        </w:rPr>
        <w:t>)</w:t>
      </w:r>
      <w:r w:rsidR="00C573B4">
        <w:rPr>
          <w:b/>
        </w:rPr>
        <w:t xml:space="preserve"> </w:t>
      </w:r>
    </w:p>
    <w:p w14:paraId="5F92719A" w14:textId="0A6270AF" w:rsidR="008E7A43" w:rsidRPr="008E7A43" w:rsidRDefault="008E7A43" w:rsidP="008E7A43">
      <w:pPr>
        <w:pStyle w:val="Heading1"/>
        <w:pBdr>
          <w:bottom w:val="single" w:sz="4" w:space="1" w:color="auto"/>
        </w:pBdr>
        <w:spacing w:after="120"/>
        <w:rPr>
          <w:rFonts w:asciiTheme="minorHAnsi" w:hAnsiTheme="minorHAnsi"/>
          <w:b/>
          <w:color w:val="5F497A" w:themeColor="accent4" w:themeShade="BF"/>
        </w:rPr>
      </w:pPr>
      <w:r w:rsidRPr="008E7A43">
        <w:rPr>
          <w:b/>
          <w:color w:val="5F497A" w:themeColor="accent4" w:themeShade="BF"/>
          <w:sz w:val="28"/>
        </w:rPr>
        <w:t xml:space="preserve">Introduction </w:t>
      </w:r>
    </w:p>
    <w:p w14:paraId="0467414E" w14:textId="36D9F8CA" w:rsidR="008E7A43" w:rsidRPr="008E7A43" w:rsidRDefault="008E7A43" w:rsidP="00DE0A50">
      <w:pPr>
        <w:spacing w:after="120"/>
      </w:pPr>
      <w:r w:rsidRPr="008E7A43">
        <w:t xml:space="preserve">Activity Based Budgeting (ABB) was fully implemented in Fiscal Year 2013, though two “soft launch” years preceded the full launch. The introduction of this </w:t>
      </w:r>
      <w:r w:rsidRPr="008E7A43">
        <w:rPr>
          <w:i/>
        </w:rPr>
        <w:t>incremental</w:t>
      </w:r>
      <w:r w:rsidRPr="008E7A43">
        <w:t xml:space="preserve"> revenue distribution model marked the beginning of more transparent budgeting and revenue allocation processes at the University of Washington in Seattle. Under ABB, a large portion of the </w:t>
      </w:r>
      <w:r>
        <w:t xml:space="preserve">University’s </w:t>
      </w:r>
      <w:r w:rsidRPr="008E7A43">
        <w:t>operating revenue</w:t>
      </w:r>
      <w:r>
        <w:t>s</w:t>
      </w:r>
      <w:r w:rsidRPr="008E7A43">
        <w:t xml:space="preserve"> is distributed formulaically, and schools, colleges and administrative units are able to review all allocations and funding decisions for every other unit. </w:t>
      </w:r>
    </w:p>
    <w:p w14:paraId="6892AF9C" w14:textId="7F41BCD4" w:rsidR="008E7A43" w:rsidRDefault="008E7A43" w:rsidP="00DE0A50">
      <w:pPr>
        <w:spacing w:after="120"/>
      </w:pPr>
      <w:r w:rsidRPr="008E7A43">
        <w:t xml:space="preserve">Despite new transparency and a shift from centralized budgeting to localized school/college budgeting, ABB has brought to the fore many campus-wide academic practices that align imperfectly with the current model, possibly creating undesirable consequences when the current model is applied. As is the case with any budgeting model, ABB is imperfect and has shortcomings. ABB’s original architects anticipated that periodic review and, eventually, a substantial formal review would be necessary to discuss these shortcomings and to possibly plan for and enact mitigating changes to the model. </w:t>
      </w:r>
      <w:r>
        <w:t>Though an ABB Committee met regularly to review short-term issues, a five-year review was promised when the original model was implemented. As you have heard, ABB’s five-year review is occurring during this academic year, with an eye toward drafting and publishing possible changes to the model in June 2016.</w:t>
      </w:r>
    </w:p>
    <w:p w14:paraId="6D89725C" w14:textId="17BE5EDA" w:rsidR="008E7A43" w:rsidRPr="008E7A43" w:rsidRDefault="008E7A43" w:rsidP="008E7A43">
      <w:pPr>
        <w:pStyle w:val="Heading1"/>
        <w:pBdr>
          <w:bottom w:val="single" w:sz="4" w:space="1" w:color="auto"/>
        </w:pBdr>
        <w:spacing w:after="120"/>
        <w:rPr>
          <w:rFonts w:asciiTheme="minorHAnsi" w:hAnsiTheme="minorHAnsi"/>
          <w:b/>
          <w:color w:val="5F497A" w:themeColor="accent4" w:themeShade="BF"/>
        </w:rPr>
      </w:pPr>
      <w:r>
        <w:rPr>
          <w:b/>
          <w:color w:val="5F497A" w:themeColor="accent4" w:themeShade="BF"/>
          <w:sz w:val="28"/>
        </w:rPr>
        <w:t>Process</w:t>
      </w:r>
      <w:r w:rsidR="00B55888">
        <w:rPr>
          <w:b/>
          <w:color w:val="5F497A" w:themeColor="accent4" w:themeShade="BF"/>
          <w:sz w:val="28"/>
        </w:rPr>
        <w:t xml:space="preserve"> Overview</w:t>
      </w:r>
      <w:r w:rsidRPr="008E7A43">
        <w:rPr>
          <w:b/>
          <w:color w:val="5F497A" w:themeColor="accent4" w:themeShade="BF"/>
          <w:sz w:val="28"/>
        </w:rPr>
        <w:t xml:space="preserve"> </w:t>
      </w:r>
    </w:p>
    <w:p w14:paraId="78F9F1F4" w14:textId="77777777" w:rsidR="00B55888" w:rsidRDefault="00DE0A50" w:rsidP="00DE0A50">
      <w:pPr>
        <w:spacing w:after="120" w:line="240" w:lineRule="auto"/>
      </w:pPr>
      <w:r>
        <w:t xml:space="preserve">The scope of ABB Phase II Committee work was crafted exclusively from elected faculty councils, student suggestions and survey responses from these groups and deans. </w:t>
      </w:r>
      <w:r w:rsidR="007B5810">
        <w:t xml:space="preserve">As a reminder, in July 2015 faculty councils were charged with investigating four areas of academic life that are imperfectly addressed by the current budget model. Faculty council charge letters and </w:t>
      </w:r>
      <w:r w:rsidR="00B55888">
        <w:t xml:space="preserve">their </w:t>
      </w:r>
      <w:r w:rsidR="007B5810">
        <w:t>fina</w:t>
      </w:r>
      <w:r w:rsidR="00B55888">
        <w:t xml:space="preserve">l reports are available online, but an overview of each council’s charge is included below: </w:t>
      </w:r>
    </w:p>
    <w:p w14:paraId="085849DC" w14:textId="17934BEB" w:rsidR="00B55888" w:rsidRDefault="00C413FC" w:rsidP="00B55888">
      <w:pPr>
        <w:numPr>
          <w:ilvl w:val="0"/>
          <w:numId w:val="26"/>
        </w:numPr>
        <w:spacing w:before="100" w:beforeAutospacing="1" w:after="100" w:afterAutospacing="1" w:line="240" w:lineRule="auto"/>
      </w:pPr>
      <w:r>
        <w:t>T</w:t>
      </w:r>
      <w:r w:rsidR="00B55888">
        <w:t>he</w:t>
      </w:r>
      <w:r w:rsidR="00B55888">
        <w:rPr>
          <w:rStyle w:val="Strong"/>
        </w:rPr>
        <w:t xml:space="preserve"> </w:t>
      </w:r>
      <w:hyperlink r:id="rId8" w:history="1">
        <w:r w:rsidR="00B55888">
          <w:rPr>
            <w:rStyle w:val="Hyperlink"/>
            <w:b/>
            <w:bCs/>
          </w:rPr>
          <w:t>Faculty Council on Academic Standards</w:t>
        </w:r>
      </w:hyperlink>
      <w:r w:rsidR="00B55888">
        <w:t> </w:t>
      </w:r>
      <w:hyperlink r:id="rId9" w:history="1">
        <w:r w:rsidR="00B55888">
          <w:rPr>
            <w:rStyle w:val="Hyperlink"/>
            <w:b/>
            <w:bCs/>
          </w:rPr>
          <w:t>reviewed educational collaboration</w:t>
        </w:r>
      </w:hyperlink>
      <w:r w:rsidR="00B55888">
        <w:t xml:space="preserve">, with a focus on joint  courses/degrees and new academic initiatives. The final report is available </w:t>
      </w:r>
      <w:hyperlink r:id="rId10" w:tgtFrame="_blank" w:history="1">
        <w:r w:rsidR="00B55888">
          <w:rPr>
            <w:rStyle w:val="Hyperlink"/>
            <w:b/>
            <w:bCs/>
          </w:rPr>
          <w:t>here</w:t>
        </w:r>
      </w:hyperlink>
      <w:r w:rsidR="00B55888">
        <w:t xml:space="preserve"> for review.</w:t>
      </w:r>
    </w:p>
    <w:p w14:paraId="3E163797" w14:textId="77777777" w:rsidR="00B55888" w:rsidRDefault="00B55888" w:rsidP="00B55888">
      <w:pPr>
        <w:numPr>
          <w:ilvl w:val="0"/>
          <w:numId w:val="26"/>
        </w:numPr>
        <w:spacing w:before="100" w:beforeAutospacing="1" w:after="100" w:afterAutospacing="1" w:line="240" w:lineRule="auto"/>
      </w:pPr>
      <w:r>
        <w:t xml:space="preserve">The </w:t>
      </w:r>
      <w:hyperlink r:id="rId11" w:history="1">
        <w:r>
          <w:rPr>
            <w:rStyle w:val="Hyperlink"/>
            <w:b/>
            <w:bCs/>
          </w:rPr>
          <w:t>Faculty Council on Research</w:t>
        </w:r>
      </w:hyperlink>
      <w:r>
        <w:t xml:space="preserve"> considered whether ABB affects </w:t>
      </w:r>
      <w:hyperlink r:id="rId12" w:history="1">
        <w:r>
          <w:rPr>
            <w:rStyle w:val="Strong"/>
            <w:color w:val="0000FF"/>
            <w:u w:val="single"/>
          </w:rPr>
          <w:t>collaboration in research</w:t>
        </w:r>
      </w:hyperlink>
      <w:r>
        <w:t xml:space="preserve">. The final report on the effects of ABB on collaborative research is available </w:t>
      </w:r>
      <w:hyperlink r:id="rId13" w:tgtFrame="_blank" w:history="1">
        <w:r>
          <w:rPr>
            <w:rStyle w:val="Strong"/>
            <w:color w:val="0000FF"/>
            <w:u w:val="single"/>
          </w:rPr>
          <w:t>here</w:t>
        </w:r>
      </w:hyperlink>
      <w:r>
        <w:t> for review.</w:t>
      </w:r>
    </w:p>
    <w:p w14:paraId="755F7E4F" w14:textId="77777777" w:rsidR="00B55888" w:rsidRDefault="00B55888" w:rsidP="00B55888">
      <w:pPr>
        <w:numPr>
          <w:ilvl w:val="0"/>
          <w:numId w:val="26"/>
        </w:numPr>
        <w:spacing w:before="100" w:beforeAutospacing="1" w:after="100" w:afterAutospacing="1" w:line="240" w:lineRule="auto"/>
      </w:pPr>
      <w:r>
        <w:t xml:space="preserve">The </w:t>
      </w:r>
      <w:hyperlink r:id="rId14" w:history="1">
        <w:r>
          <w:rPr>
            <w:rStyle w:val="Hyperlink"/>
            <w:b/>
            <w:bCs/>
          </w:rPr>
          <w:t xml:space="preserve">Faculty Council on Teaching and Learning </w:t>
        </w:r>
      </w:hyperlink>
      <w:r>
        <w:t xml:space="preserve">investigated the </w:t>
      </w:r>
      <w:hyperlink r:id="rId15" w:history="1">
        <w:r>
          <w:rPr>
            <w:rStyle w:val="Strong"/>
            <w:color w:val="0000FF"/>
            <w:u w:val="single"/>
          </w:rPr>
          <w:t>current treatment of summer quarter</w:t>
        </w:r>
      </w:hyperlink>
      <w:r>
        <w:t xml:space="preserve"> as an Educational Outreach endeavor and exploring related implications on faculty salaries and research and the final report is available </w:t>
      </w:r>
      <w:hyperlink r:id="rId16" w:tgtFrame="_blank" w:history="1">
        <w:r>
          <w:rPr>
            <w:rStyle w:val="Strong"/>
            <w:color w:val="0000FF"/>
            <w:u w:val="single"/>
          </w:rPr>
          <w:t>here</w:t>
        </w:r>
      </w:hyperlink>
      <w:r>
        <w:t xml:space="preserve"> for review.</w:t>
      </w:r>
    </w:p>
    <w:p w14:paraId="6B7D9076" w14:textId="77777777" w:rsidR="00B55888" w:rsidRDefault="00B55888" w:rsidP="00B55888">
      <w:pPr>
        <w:numPr>
          <w:ilvl w:val="0"/>
          <w:numId w:val="26"/>
        </w:numPr>
        <w:spacing w:before="100" w:beforeAutospacing="1" w:after="100" w:afterAutospacing="1" w:line="240" w:lineRule="auto"/>
      </w:pPr>
      <w:r>
        <w:t>The</w:t>
      </w:r>
      <w:r>
        <w:rPr>
          <w:rStyle w:val="Strong"/>
        </w:rPr>
        <w:t xml:space="preserve"> </w:t>
      </w:r>
      <w:hyperlink r:id="rId17" w:history="1">
        <w:r>
          <w:rPr>
            <w:rStyle w:val="Hyperlink"/>
            <w:b/>
            <w:bCs/>
          </w:rPr>
          <w:t>Graduate School Council</w:t>
        </w:r>
      </w:hyperlink>
      <w:r>
        <w:rPr>
          <w:rStyle w:val="Strong"/>
        </w:rPr>
        <w:t xml:space="preserve"> </w:t>
      </w:r>
      <w:r>
        <w:t xml:space="preserve">discussed </w:t>
      </w:r>
      <w:hyperlink r:id="rId18" w:history="1">
        <w:r>
          <w:rPr>
            <w:rStyle w:val="Strong"/>
            <w:color w:val="0000FF"/>
            <w:u w:val="single"/>
          </w:rPr>
          <w:t>cross-college hiring of graduate students</w:t>
        </w:r>
      </w:hyperlink>
      <w:r>
        <w:t xml:space="preserve"> and graduate student waivers and the final report is available </w:t>
      </w:r>
      <w:hyperlink r:id="rId19" w:tgtFrame="_blank" w:history="1">
        <w:r>
          <w:rPr>
            <w:rStyle w:val="Hyperlink"/>
            <w:b/>
            <w:bCs/>
          </w:rPr>
          <w:t>here</w:t>
        </w:r>
      </w:hyperlink>
      <w:r>
        <w:t xml:space="preserve"> for review.</w:t>
      </w:r>
    </w:p>
    <w:p w14:paraId="68C42466" w14:textId="0E9ECB2E" w:rsidR="008E7A43" w:rsidRDefault="00B55888" w:rsidP="00DE0A50">
      <w:pPr>
        <w:spacing w:after="120" w:line="240" w:lineRule="auto"/>
      </w:pPr>
      <w:r>
        <w:t>The</w:t>
      </w:r>
      <w:r w:rsidR="00DE0A50">
        <w:t xml:space="preserve"> scope </w:t>
      </w:r>
      <w:r>
        <w:t xml:space="preserve">of work for ABB Phase II </w:t>
      </w:r>
      <w:r w:rsidR="00DE0A50">
        <w:t xml:space="preserve">was detailed in </w:t>
      </w:r>
      <w:r w:rsidR="007B5810">
        <w:t xml:space="preserve">Interim </w:t>
      </w:r>
      <w:r w:rsidR="00DE0A50">
        <w:t>Provost Baldasty’s charge letter to the committee and</w:t>
      </w:r>
      <w:r w:rsidR="00C413FC">
        <w:t>,</w:t>
      </w:r>
      <w:r w:rsidR="00DE0A50">
        <w:t xml:space="preserve"> like all ABB Phase II documents, is available online for review.</w:t>
      </w:r>
      <w:r w:rsidR="00DE0A50">
        <w:rPr>
          <w:rStyle w:val="FootnoteReference"/>
        </w:rPr>
        <w:footnoteReference w:id="1"/>
      </w:r>
    </w:p>
    <w:p w14:paraId="3EAF053D" w14:textId="1D19775D" w:rsidR="008446F9" w:rsidRPr="008446F9" w:rsidRDefault="008446F9" w:rsidP="00DE0A50">
      <w:pPr>
        <w:spacing w:after="120" w:line="240" w:lineRule="auto"/>
        <w:rPr>
          <w:b/>
        </w:rPr>
      </w:pPr>
      <w:r w:rsidRPr="008446F9">
        <w:rPr>
          <w:b/>
        </w:rPr>
        <w:t xml:space="preserve">Please </w:t>
      </w:r>
      <w:r>
        <w:rPr>
          <w:b/>
        </w:rPr>
        <w:t>read</w:t>
      </w:r>
      <w:r w:rsidRPr="008446F9">
        <w:rPr>
          <w:b/>
        </w:rPr>
        <w:t xml:space="preserve"> each council’s report before </w:t>
      </w:r>
      <w:r>
        <w:rPr>
          <w:b/>
        </w:rPr>
        <w:t>reviewing</w:t>
      </w:r>
      <w:r w:rsidRPr="008446F9">
        <w:rPr>
          <w:b/>
        </w:rPr>
        <w:t xml:space="preserve"> how the ABB Phase II committee proceeded with its work.</w:t>
      </w:r>
    </w:p>
    <w:p w14:paraId="58F67C86" w14:textId="6587DD2E" w:rsidR="00B55888" w:rsidRDefault="00B55888" w:rsidP="008E7A43">
      <w:pPr>
        <w:spacing w:after="120"/>
      </w:pPr>
      <w:r>
        <w:lastRenderedPageBreak/>
        <w:t xml:space="preserve">Once all faculty council reports were received in February 2016, the </w:t>
      </w:r>
      <w:r w:rsidR="007B5810">
        <w:t xml:space="preserve">ABB Phase II Committee broke into several smaller subcommittees to tackle each of the goals and objectives in </w:t>
      </w:r>
      <w:r w:rsidR="00C5462D">
        <w:t>its</w:t>
      </w:r>
      <w:r w:rsidR="007B5810">
        <w:t xml:space="preserve"> charge letter. Each subcommittee has until the end of April or mid-May at the latest to finish its work in order to coordinate a report for wide distribution by early June. </w:t>
      </w:r>
    </w:p>
    <w:p w14:paraId="06E4B420" w14:textId="7625C469" w:rsidR="007B5810" w:rsidRDefault="007B5810" w:rsidP="008E7A43">
      <w:pPr>
        <w:spacing w:after="120"/>
      </w:pPr>
      <w:r>
        <w:t>Subcommittee tasks are p</w:t>
      </w:r>
      <w:r w:rsidR="00B55888">
        <w:t>resented below for information.</w:t>
      </w:r>
      <w:bookmarkStart w:id="0" w:name="_GoBack"/>
      <w:bookmarkEnd w:id="0"/>
    </w:p>
    <w:p w14:paraId="0D54CAFC" w14:textId="35416A71" w:rsidR="00B55888" w:rsidRPr="008E7A43" w:rsidRDefault="00B55888" w:rsidP="00B55888">
      <w:pPr>
        <w:pStyle w:val="Heading1"/>
        <w:pBdr>
          <w:bottom w:val="single" w:sz="4" w:space="1" w:color="auto"/>
        </w:pBdr>
        <w:spacing w:after="120"/>
        <w:rPr>
          <w:rFonts w:asciiTheme="minorHAnsi" w:hAnsiTheme="minorHAnsi"/>
          <w:b/>
          <w:color w:val="5F497A" w:themeColor="accent4" w:themeShade="BF"/>
        </w:rPr>
      </w:pPr>
      <w:r>
        <w:rPr>
          <w:b/>
          <w:color w:val="5F497A" w:themeColor="accent4" w:themeShade="BF"/>
          <w:sz w:val="28"/>
        </w:rPr>
        <w:t>ABB Phase II Subcommittee Structure</w:t>
      </w:r>
      <w:r w:rsidRPr="008E7A43">
        <w:rPr>
          <w:b/>
          <w:color w:val="5F497A" w:themeColor="accent4" w:themeShade="BF"/>
          <w:sz w:val="28"/>
        </w:rPr>
        <w:t xml:space="preserve"> </w:t>
      </w:r>
      <w:r>
        <w:rPr>
          <w:b/>
          <w:color w:val="5F497A" w:themeColor="accent4" w:themeShade="BF"/>
          <w:sz w:val="28"/>
        </w:rPr>
        <w:t xml:space="preserve">and Current Projects </w:t>
      </w:r>
    </w:p>
    <w:p w14:paraId="4B128F9B" w14:textId="1E1F010A" w:rsidR="007B5810" w:rsidRDefault="007B5810" w:rsidP="007B5810">
      <w:pPr>
        <w:pStyle w:val="ListParagraph"/>
        <w:numPr>
          <w:ilvl w:val="0"/>
          <w:numId w:val="25"/>
        </w:numPr>
        <w:spacing w:after="120"/>
        <w:rPr>
          <w:b/>
        </w:rPr>
      </w:pPr>
      <w:r>
        <w:rPr>
          <w:b/>
        </w:rPr>
        <w:t>R</w:t>
      </w:r>
      <w:r w:rsidRPr="007B5810">
        <w:rPr>
          <w:b/>
        </w:rPr>
        <w:t>ole of FCAS</w:t>
      </w:r>
      <w:r>
        <w:rPr>
          <w:b/>
        </w:rPr>
        <w:t>:</w:t>
      </w:r>
      <w:r w:rsidRPr="007B5810">
        <w:rPr>
          <w:b/>
        </w:rPr>
        <w:t xml:space="preserve"> </w:t>
      </w:r>
      <w:r>
        <w:rPr>
          <w:b/>
        </w:rPr>
        <w:t>N</w:t>
      </w:r>
      <w:r w:rsidRPr="007B5810">
        <w:rPr>
          <w:b/>
        </w:rPr>
        <w:t>ew courses and program</w:t>
      </w:r>
      <w:r>
        <w:rPr>
          <w:b/>
        </w:rPr>
        <w:t xml:space="preserve"> approvals</w:t>
      </w:r>
    </w:p>
    <w:p w14:paraId="26779C8C" w14:textId="1017BD88" w:rsidR="007B5810" w:rsidRDefault="007B5810" w:rsidP="007B5810">
      <w:pPr>
        <w:pStyle w:val="ListParagraph"/>
        <w:spacing w:after="120"/>
        <w:ind w:left="360"/>
        <w:rPr>
          <w:b/>
        </w:rPr>
      </w:pPr>
      <w:r>
        <w:rPr>
          <w:b/>
        </w:rPr>
        <w:t>Chair: Paul Hopkins</w:t>
      </w:r>
    </w:p>
    <w:p w14:paraId="79CEC1B3" w14:textId="14467C9C" w:rsidR="007B5810" w:rsidRPr="007B5810" w:rsidRDefault="001F5E9C" w:rsidP="007B5810">
      <w:pPr>
        <w:pStyle w:val="ListParagraph"/>
        <w:spacing w:after="120"/>
        <w:ind w:left="360"/>
        <w:rPr>
          <w:b/>
        </w:rPr>
      </w:pPr>
      <w:r>
        <w:rPr>
          <w:b/>
        </w:rPr>
        <w:t>Member</w:t>
      </w:r>
      <w:r w:rsidR="007B5810">
        <w:rPr>
          <w:b/>
        </w:rPr>
        <w:t xml:space="preserve">: Kate O’Neill </w:t>
      </w:r>
    </w:p>
    <w:p w14:paraId="6B7E30AD" w14:textId="685F27FE" w:rsidR="008E7A43" w:rsidRPr="008E7A43" w:rsidRDefault="00C5462D" w:rsidP="007B5810">
      <w:pPr>
        <w:pStyle w:val="ListParagraph"/>
        <w:spacing w:after="120"/>
        <w:ind w:left="360"/>
      </w:pPr>
      <w:r>
        <w:t xml:space="preserve">The </w:t>
      </w:r>
      <w:r w:rsidR="008E7A43" w:rsidRPr="008E7A43">
        <w:t xml:space="preserve">FCAS </w:t>
      </w:r>
      <w:r>
        <w:t xml:space="preserve">report contained several observations and concerns about the notion of </w:t>
      </w:r>
      <w:r w:rsidR="008E7A43" w:rsidRPr="008E7A43">
        <w:t xml:space="preserve">joint courses and degrees that fall into </w:t>
      </w:r>
      <w:r w:rsidR="001159A4">
        <w:t>“potentially duplicative”</w:t>
      </w:r>
      <w:r w:rsidR="008E7A43" w:rsidRPr="008E7A43">
        <w:t xml:space="preserve"> categories</w:t>
      </w:r>
      <w:r>
        <w:t xml:space="preserve">. As such, we began focusing on the ways in which existing faculty-led processes could be modified to contemplate the financial and curricular ramifications of new courses and degrees that might fall into this category. Preliminary observations are offered by the subcommittee below, to be considered and modified by others, including BODC: </w:t>
      </w:r>
    </w:p>
    <w:p w14:paraId="214EFBC4" w14:textId="3855B3B3" w:rsidR="001F5E9C" w:rsidRPr="008E7A43" w:rsidRDefault="001F5E9C" w:rsidP="001F5E9C">
      <w:pPr>
        <w:pStyle w:val="ListParagraph"/>
        <w:numPr>
          <w:ilvl w:val="0"/>
          <w:numId w:val="27"/>
        </w:numPr>
        <w:spacing w:after="120"/>
        <w:ind w:left="1170"/>
      </w:pPr>
      <w:r>
        <w:t>It is critical that UW develop institution-wide policies and procedures concerning the creation or modification of courses or degree programs that have the potential to inflict deleterious financial consequences on other units (i.e. “</w:t>
      </w:r>
      <w:r w:rsidR="001159A4">
        <w:t>potentially duplicative</w:t>
      </w:r>
      <w:r>
        <w:t>”).</w:t>
      </w:r>
    </w:p>
    <w:p w14:paraId="6E1D59F4" w14:textId="7674CC9E" w:rsidR="001F5E9C" w:rsidRPr="008E7A43" w:rsidRDefault="001F5E9C" w:rsidP="001F5E9C">
      <w:pPr>
        <w:pStyle w:val="ListParagraph"/>
        <w:numPr>
          <w:ilvl w:val="0"/>
          <w:numId w:val="27"/>
        </w:numPr>
        <w:spacing w:after="120"/>
        <w:ind w:left="1170"/>
      </w:pPr>
      <w:r>
        <w:t>These policies and procedures</w:t>
      </w:r>
      <w:r w:rsidRPr="008E7A43">
        <w:t xml:space="preserve"> should be publicized to </w:t>
      </w:r>
      <w:r>
        <w:t>make</w:t>
      </w:r>
      <w:r w:rsidRPr="008E7A43">
        <w:t xml:space="preserve"> </w:t>
      </w:r>
      <w:r>
        <w:t>schools and colleges to</w:t>
      </w:r>
      <w:r w:rsidRPr="008E7A43">
        <w:t xml:space="preserve"> aware of the institution’s stance on </w:t>
      </w:r>
      <w:r w:rsidR="001159A4">
        <w:t>potentially duplicative courses/degrees</w:t>
      </w:r>
      <w:r w:rsidRPr="008E7A43">
        <w:t xml:space="preserve"> prior to requesting a</w:t>
      </w:r>
      <w:r>
        <w:t xml:space="preserve"> new course or program approval.</w:t>
      </w:r>
    </w:p>
    <w:p w14:paraId="7710D7FA" w14:textId="7416D42B" w:rsidR="001F5E9C" w:rsidRPr="008E7A43" w:rsidRDefault="001F5E9C" w:rsidP="001F5E9C">
      <w:pPr>
        <w:pStyle w:val="ListParagraph"/>
        <w:numPr>
          <w:ilvl w:val="0"/>
          <w:numId w:val="27"/>
        </w:numPr>
        <w:spacing w:after="120"/>
        <w:ind w:left="1170"/>
      </w:pPr>
      <w:r w:rsidRPr="008E7A43">
        <w:t xml:space="preserve">FCAS should </w:t>
      </w:r>
      <w:r>
        <w:t>remain</w:t>
      </w:r>
      <w:r w:rsidRPr="008E7A43">
        <w:t xml:space="preserve"> the first place where new courses and programs are </w:t>
      </w:r>
      <w:r>
        <w:t>brought for consideration, based not only upon academic considerations, but also upon adherence to institutional policies</w:t>
      </w:r>
      <w:r w:rsidR="001159A4">
        <w:t xml:space="preserve"> regarding potentially duplicative courses/degrees</w:t>
      </w:r>
      <w:r>
        <w:t>.</w:t>
      </w:r>
    </w:p>
    <w:p w14:paraId="5C3A9937" w14:textId="77777777" w:rsidR="001F5E9C" w:rsidRPr="008E7A43" w:rsidRDefault="001F5E9C" w:rsidP="001F5E9C">
      <w:pPr>
        <w:pStyle w:val="ListParagraph"/>
        <w:numPr>
          <w:ilvl w:val="0"/>
          <w:numId w:val="27"/>
        </w:numPr>
        <w:spacing w:after="120"/>
        <w:ind w:left="1170"/>
      </w:pPr>
      <w:r w:rsidRPr="008E7A43">
        <w:t xml:space="preserve">FCAS </w:t>
      </w:r>
      <w:r>
        <w:t>sh</w:t>
      </w:r>
      <w:r w:rsidRPr="008E7A43">
        <w:t>ould develop a proce</w:t>
      </w:r>
      <w:r>
        <w:t>ss flow for contentious issues.</w:t>
      </w:r>
    </w:p>
    <w:p w14:paraId="4F14B583" w14:textId="77777777" w:rsidR="001F5E9C" w:rsidRPr="008E7A43" w:rsidRDefault="001F5E9C" w:rsidP="001F5E9C">
      <w:pPr>
        <w:pStyle w:val="ListParagraph"/>
        <w:numPr>
          <w:ilvl w:val="0"/>
          <w:numId w:val="27"/>
        </w:numPr>
        <w:spacing w:after="120"/>
        <w:ind w:left="1170"/>
      </w:pPr>
      <w:r w:rsidRPr="008E7A43">
        <w:t xml:space="preserve">Though FCAS would deliver a decision, </w:t>
      </w:r>
      <w:r>
        <w:t>there should be</w:t>
      </w:r>
      <w:r w:rsidRPr="008E7A43">
        <w:t xml:space="preserve"> an appeal process </w:t>
      </w:r>
      <w:r>
        <w:t>including</w:t>
      </w:r>
      <w:r w:rsidRPr="008E7A43">
        <w:t xml:space="preserve"> </w:t>
      </w:r>
      <w:r>
        <w:t>a (</w:t>
      </w:r>
      <w:r w:rsidRPr="008E7A43">
        <w:t>new</w:t>
      </w:r>
      <w:r>
        <w:t>?)</w:t>
      </w:r>
      <w:r w:rsidRPr="008E7A43">
        <w:t xml:space="preserve"> committee to have a final say on the appeals</w:t>
      </w:r>
      <w:r>
        <w:t>.</w:t>
      </w:r>
    </w:p>
    <w:p w14:paraId="688436F5" w14:textId="77777777" w:rsidR="001F5E9C" w:rsidRPr="008E7A43" w:rsidRDefault="001F5E9C" w:rsidP="001F5E9C">
      <w:pPr>
        <w:pStyle w:val="ListParagraph"/>
        <w:numPr>
          <w:ilvl w:val="0"/>
          <w:numId w:val="27"/>
        </w:numPr>
        <w:spacing w:after="120"/>
        <w:ind w:left="1170"/>
      </w:pPr>
      <w:r>
        <w:t>It would be desirable for</w:t>
      </w:r>
      <w:r w:rsidRPr="008E7A43">
        <w:t xml:space="preserve"> appeals </w:t>
      </w:r>
      <w:r>
        <w:t>to</w:t>
      </w:r>
      <w:r w:rsidRPr="008E7A43">
        <w:t xml:space="preserve"> be rare and overturns of FCAS decisions even rarer</w:t>
      </w:r>
      <w:r>
        <w:t>.</w:t>
      </w:r>
      <w:r w:rsidRPr="008E7A43">
        <w:t xml:space="preserve"> </w:t>
      </w:r>
      <w:r>
        <w:t>If experience indicates otherwise, the process for the initial assessment should be revisited.</w:t>
      </w:r>
    </w:p>
    <w:p w14:paraId="333D4313" w14:textId="77777777" w:rsidR="001F5E9C" w:rsidRPr="008E7A43" w:rsidRDefault="001F5E9C" w:rsidP="001F5E9C">
      <w:pPr>
        <w:pStyle w:val="ListParagraph"/>
        <w:numPr>
          <w:ilvl w:val="0"/>
          <w:numId w:val="27"/>
        </w:numPr>
        <w:spacing w:after="120"/>
        <w:ind w:left="1170"/>
      </w:pPr>
      <w:r w:rsidRPr="008E7A43">
        <w:t>This appeals board could be SCPB, a subcommittee of ABB Committee, etc., but more faculty should be involved than not</w:t>
      </w:r>
      <w:r>
        <w:t>.</w:t>
      </w:r>
    </w:p>
    <w:p w14:paraId="50430339" w14:textId="77777777" w:rsidR="001F5E9C" w:rsidRPr="008E7A43" w:rsidRDefault="001F5E9C" w:rsidP="001F5E9C">
      <w:pPr>
        <w:pStyle w:val="ListParagraph"/>
        <w:numPr>
          <w:ilvl w:val="0"/>
          <w:numId w:val="27"/>
        </w:numPr>
        <w:spacing w:after="120"/>
        <w:ind w:left="1170"/>
      </w:pPr>
      <w:r>
        <w:t xml:space="preserve">To do: </w:t>
      </w:r>
      <w:r w:rsidRPr="008E7A43">
        <w:t>Research how peer instit</w:t>
      </w:r>
      <w:r>
        <w:t>utions deal with similar issues.</w:t>
      </w:r>
    </w:p>
    <w:p w14:paraId="35DF7AF3" w14:textId="77777777" w:rsidR="001F5E9C" w:rsidRDefault="001F5E9C" w:rsidP="001F5E9C">
      <w:pPr>
        <w:pStyle w:val="ListParagraph"/>
        <w:numPr>
          <w:ilvl w:val="0"/>
          <w:numId w:val="27"/>
        </w:numPr>
        <w:spacing w:after="120"/>
        <w:ind w:left="1170"/>
      </w:pPr>
      <w:r>
        <w:t>To do: Seek broad feedback before suggesting this scenario.</w:t>
      </w:r>
    </w:p>
    <w:p w14:paraId="0F581661" w14:textId="77777777" w:rsidR="00AA1F95" w:rsidRDefault="00AA1F95" w:rsidP="00AA1F95">
      <w:pPr>
        <w:pStyle w:val="ListParagraph"/>
        <w:spacing w:after="120"/>
        <w:ind w:left="1080"/>
      </w:pPr>
    </w:p>
    <w:p w14:paraId="5154296F" w14:textId="77777777" w:rsidR="00C5462D" w:rsidRPr="008E7A43" w:rsidRDefault="00C5462D" w:rsidP="00C5462D">
      <w:pPr>
        <w:pStyle w:val="ListParagraph"/>
        <w:spacing w:after="120"/>
        <w:ind w:left="1080"/>
      </w:pPr>
    </w:p>
    <w:p w14:paraId="53604A41" w14:textId="1E06E3EE" w:rsidR="008446F9" w:rsidRDefault="008446F9" w:rsidP="008446F9">
      <w:pPr>
        <w:pStyle w:val="ListParagraph"/>
        <w:numPr>
          <w:ilvl w:val="0"/>
          <w:numId w:val="25"/>
        </w:numPr>
        <w:spacing w:after="120"/>
        <w:rPr>
          <w:b/>
        </w:rPr>
      </w:pPr>
      <w:r>
        <w:rPr>
          <w:b/>
        </w:rPr>
        <w:t>FCAS Recommendations:</w:t>
      </w:r>
      <w:r w:rsidRPr="007B5810">
        <w:rPr>
          <w:b/>
        </w:rPr>
        <w:t xml:space="preserve"> </w:t>
      </w:r>
      <w:r>
        <w:rPr>
          <w:b/>
        </w:rPr>
        <w:t>Tuition revenue allocation methodology</w:t>
      </w:r>
    </w:p>
    <w:p w14:paraId="300D842B" w14:textId="6B7037D8" w:rsidR="008446F9" w:rsidRDefault="008446F9" w:rsidP="008446F9">
      <w:pPr>
        <w:pStyle w:val="ListParagraph"/>
        <w:spacing w:after="120"/>
        <w:ind w:left="360"/>
        <w:rPr>
          <w:b/>
        </w:rPr>
      </w:pPr>
      <w:r>
        <w:rPr>
          <w:b/>
        </w:rPr>
        <w:t xml:space="preserve">Chair: </w:t>
      </w:r>
      <w:r w:rsidR="00C5462D">
        <w:rPr>
          <w:b/>
        </w:rPr>
        <w:t>Linda Rose Nelson</w:t>
      </w:r>
    </w:p>
    <w:p w14:paraId="11943652" w14:textId="5C26BCE1" w:rsidR="008446F9" w:rsidRPr="007B5810" w:rsidRDefault="008446F9" w:rsidP="008446F9">
      <w:pPr>
        <w:pStyle w:val="ListParagraph"/>
        <w:spacing w:after="120"/>
        <w:ind w:left="360"/>
        <w:rPr>
          <w:b/>
        </w:rPr>
      </w:pPr>
      <w:r>
        <w:rPr>
          <w:b/>
        </w:rPr>
        <w:t xml:space="preserve">Members: </w:t>
      </w:r>
      <w:r w:rsidR="00AA1F95">
        <w:rPr>
          <w:b/>
        </w:rPr>
        <w:t>Sandy Archibald, Dave Green, Dave Anderson, Paul Jenny, Mary Lidstrom, Rovy Branon, Abe McClenny (ASUW rep), Kerstin Hudon (GPSS rep), Suganya Sundaram, Carol Diem</w:t>
      </w:r>
    </w:p>
    <w:p w14:paraId="3BC8581C" w14:textId="0303B81B" w:rsidR="008E7A43" w:rsidRPr="008E7A43" w:rsidRDefault="00C5462D" w:rsidP="00C5462D">
      <w:pPr>
        <w:spacing w:after="120"/>
        <w:ind w:left="360"/>
      </w:pPr>
      <w:r>
        <w:t xml:space="preserve">The FCAS report also noted several concerns about the method of distributing net tuition revenue as well as the splits for student credit hour/degree and major enrollment/degree. This </w:t>
      </w:r>
      <w:r w:rsidR="008E7A43" w:rsidRPr="008E7A43">
        <w:t xml:space="preserve">subcommittee is tasked with analyzing </w:t>
      </w:r>
      <w:r w:rsidR="008E7A43" w:rsidRPr="008E7A43">
        <w:lastRenderedPageBreak/>
        <w:t>various methods to allocate the tuition revenue and provide recommendations on whether to change the current parameters for distribution or not.</w:t>
      </w:r>
    </w:p>
    <w:p w14:paraId="0FE8F601" w14:textId="77777777" w:rsidR="008E7A43" w:rsidRPr="008E7A43" w:rsidRDefault="008E7A43" w:rsidP="00B55888">
      <w:pPr>
        <w:spacing w:after="120"/>
        <w:ind w:left="360"/>
      </w:pPr>
      <w:r w:rsidRPr="008E7A43">
        <w:t xml:space="preserve">Listed below are the various tasks that the subcommittee has agreed upon for the time being:  </w:t>
      </w:r>
    </w:p>
    <w:p w14:paraId="31DD4B93" w14:textId="1E0F71A7" w:rsidR="000B2510" w:rsidRDefault="000B2510" w:rsidP="00C5462D">
      <w:pPr>
        <w:pStyle w:val="ListParagraph"/>
        <w:numPr>
          <w:ilvl w:val="0"/>
          <w:numId w:val="28"/>
        </w:numPr>
        <w:spacing w:after="120"/>
      </w:pPr>
      <w:r>
        <w:t xml:space="preserve">Consider changing current attribution of SCH to units based to instructor of record. </w:t>
      </w:r>
      <w:r w:rsidRPr="000B2510">
        <w:rPr>
          <w:b/>
        </w:rPr>
        <w:t>Please see BODC Attachment 1 – Summary of instructor of record.</w:t>
      </w:r>
    </w:p>
    <w:p w14:paraId="773230F1" w14:textId="3216DB06" w:rsidR="008E7A43" w:rsidRPr="008E7A43" w:rsidRDefault="008E7A43" w:rsidP="00C5462D">
      <w:pPr>
        <w:pStyle w:val="ListParagraph"/>
        <w:numPr>
          <w:ilvl w:val="0"/>
          <w:numId w:val="28"/>
        </w:numPr>
        <w:spacing w:after="120"/>
      </w:pPr>
      <w:r w:rsidRPr="008E7A43">
        <w:t>Run different scenarios of undergrad and grad tuition revenue distribution and analyze their impact to schools and colleges</w:t>
      </w:r>
      <w:r w:rsidR="00C5462D">
        <w:t>.</w:t>
      </w:r>
      <w:r w:rsidR="000B2510">
        <w:t xml:space="preserve"> </w:t>
      </w:r>
      <w:r w:rsidR="000B2510" w:rsidRPr="000B2510">
        <w:rPr>
          <w:b/>
        </w:rPr>
        <w:t>Please see BODC Attachment 2 – Tuition distrib</w:t>
      </w:r>
      <w:r w:rsidR="000B2510">
        <w:rPr>
          <w:b/>
        </w:rPr>
        <w:t>ution scenarios, tabs “Undergraduate tuition scenarios” and “Graduate tuition scenarios.”</w:t>
      </w:r>
    </w:p>
    <w:p w14:paraId="5B8C90AD" w14:textId="19C97861" w:rsidR="008E7A43" w:rsidRPr="008E7A43" w:rsidRDefault="008E7A43" w:rsidP="00C5462D">
      <w:pPr>
        <w:pStyle w:val="ListParagraph"/>
        <w:numPr>
          <w:ilvl w:val="0"/>
          <w:numId w:val="28"/>
        </w:numPr>
        <w:spacing w:after="120"/>
      </w:pPr>
      <w:r w:rsidRPr="008E7A43">
        <w:t xml:space="preserve">Run a model taxing 10% from net undergraduate tuition revenue (after Provost tax) to fund TAs and RAs. </w:t>
      </w:r>
      <w:r w:rsidR="000B2510" w:rsidRPr="000B2510">
        <w:rPr>
          <w:b/>
        </w:rPr>
        <w:t>Please see BODC Attachment 2 – Tuition distrib</w:t>
      </w:r>
      <w:r w:rsidR="000B2510">
        <w:rPr>
          <w:b/>
        </w:rPr>
        <w:t>ution scenarios, tab “10% off Undergrad Tuition.”</w:t>
      </w:r>
    </w:p>
    <w:p w14:paraId="3A9711E4" w14:textId="5926563D" w:rsidR="008E7A43" w:rsidRPr="008E7A43" w:rsidRDefault="008E7A43" w:rsidP="00C5462D">
      <w:pPr>
        <w:pStyle w:val="ListParagraph"/>
        <w:numPr>
          <w:ilvl w:val="0"/>
          <w:numId w:val="28"/>
        </w:numPr>
        <w:spacing w:after="120"/>
      </w:pPr>
      <w:r w:rsidRPr="008E7A43">
        <w:t xml:space="preserve">Identify the cost of TAs by college and in order to partially understand how they are currently funded. Hopefully, this analysis will clarify whether there is a gap between the need and the availability and funds in order to determine whether 10% of undergrad tuition would help fill the gap. </w:t>
      </w:r>
      <w:r w:rsidR="000B2510" w:rsidRPr="000B2510">
        <w:rPr>
          <w:b/>
        </w:rPr>
        <w:t>Please see BODC Attachment 2 – Tuition distrib</w:t>
      </w:r>
      <w:r w:rsidR="000B2510">
        <w:rPr>
          <w:b/>
        </w:rPr>
        <w:t>ution scenarios, tab “10% off Undergrad Tuition.”</w:t>
      </w:r>
    </w:p>
    <w:p w14:paraId="509637E3" w14:textId="472951EF" w:rsidR="008E7A43" w:rsidRPr="008E7A43" w:rsidRDefault="00C5462D" w:rsidP="00C5462D">
      <w:pPr>
        <w:pStyle w:val="ListParagraph"/>
        <w:numPr>
          <w:ilvl w:val="0"/>
          <w:numId w:val="28"/>
        </w:numPr>
        <w:spacing w:after="120"/>
      </w:pPr>
      <w:r>
        <w:t>Write</w:t>
      </w:r>
      <w:r w:rsidR="008E7A43" w:rsidRPr="008E7A43">
        <w:t xml:space="preserve"> a clear statement of the current PRF distribution principles, review peer institutions practices in distributing PRF and provide recommendations to the Provost based on the findings.</w:t>
      </w:r>
    </w:p>
    <w:p w14:paraId="2DEAD40F" w14:textId="46771569" w:rsidR="008E7A43" w:rsidRPr="008E7A43" w:rsidRDefault="008E7A43" w:rsidP="00C5462D">
      <w:pPr>
        <w:pStyle w:val="ListParagraph"/>
        <w:numPr>
          <w:ilvl w:val="0"/>
          <w:numId w:val="28"/>
        </w:numPr>
        <w:spacing w:after="120"/>
      </w:pPr>
      <w:r w:rsidRPr="008E7A43">
        <w:t>Clarify how Incremental state funds are currently distributed and look into possible parameters for better distribution of funds, where possible and allowable by state law. Note clearly that compensation provided by the state is insufficient. As a result, the PRF pool is being used to fund compensation and not strategic inve</w:t>
      </w:r>
      <w:r w:rsidR="00AA1F95">
        <w:t>stments in specific programs as we had planned when ABB was fully implemented.</w:t>
      </w:r>
    </w:p>
    <w:p w14:paraId="24D62010" w14:textId="17AF66A8" w:rsidR="008E7A43" w:rsidRDefault="008E7A43" w:rsidP="00C5462D">
      <w:pPr>
        <w:pStyle w:val="ListParagraph"/>
        <w:numPr>
          <w:ilvl w:val="0"/>
          <w:numId w:val="28"/>
        </w:numPr>
        <w:spacing w:after="120"/>
      </w:pPr>
      <w:r w:rsidRPr="008E7A43">
        <w:t>In addition, consider whether we should conduct a thoughtful periodic review of supplement by unit</w:t>
      </w:r>
      <w:r w:rsidR="00AA1F95">
        <w:t>.</w:t>
      </w:r>
    </w:p>
    <w:p w14:paraId="3F0206A3" w14:textId="29B13E9E" w:rsidR="00AA1F95" w:rsidRDefault="00AA1F95" w:rsidP="00AA1F95">
      <w:pPr>
        <w:spacing w:after="120"/>
      </w:pPr>
      <w:r>
        <w:t>Please see attachments included with this overview for additional information.</w:t>
      </w:r>
    </w:p>
    <w:p w14:paraId="0FBC0752" w14:textId="77777777" w:rsidR="00AA1F95" w:rsidRPr="008E7A43" w:rsidRDefault="00AA1F95" w:rsidP="00AA1F95">
      <w:pPr>
        <w:spacing w:after="120"/>
      </w:pPr>
    </w:p>
    <w:p w14:paraId="5B657354" w14:textId="633DEE61" w:rsidR="00AA1F95" w:rsidRDefault="00AA1F95" w:rsidP="00AA1F95">
      <w:pPr>
        <w:pStyle w:val="ListParagraph"/>
        <w:numPr>
          <w:ilvl w:val="0"/>
          <w:numId w:val="25"/>
        </w:numPr>
        <w:spacing w:after="120"/>
        <w:rPr>
          <w:b/>
        </w:rPr>
      </w:pPr>
      <w:r>
        <w:rPr>
          <w:b/>
        </w:rPr>
        <w:t>FCR Recommendations:</w:t>
      </w:r>
      <w:r w:rsidRPr="007B5810">
        <w:rPr>
          <w:b/>
        </w:rPr>
        <w:t xml:space="preserve"> </w:t>
      </w:r>
      <w:r>
        <w:rPr>
          <w:b/>
        </w:rPr>
        <w:t>Distribution of Indirect Cost Recovery (ICR)</w:t>
      </w:r>
    </w:p>
    <w:p w14:paraId="5E0636C1" w14:textId="429094E3" w:rsidR="00AA1F95" w:rsidRDefault="00AA1F95" w:rsidP="00AA1F95">
      <w:pPr>
        <w:pStyle w:val="ListParagraph"/>
        <w:spacing w:after="120"/>
        <w:ind w:left="360"/>
        <w:rPr>
          <w:b/>
        </w:rPr>
      </w:pPr>
      <w:r>
        <w:rPr>
          <w:b/>
        </w:rPr>
        <w:t xml:space="preserve">Chair: Mary Lidstrom </w:t>
      </w:r>
    </w:p>
    <w:p w14:paraId="2F6F70C4" w14:textId="3F946D18" w:rsidR="00AA1F95" w:rsidRDefault="00AA1F95" w:rsidP="00AA1F95">
      <w:pPr>
        <w:pStyle w:val="ListParagraph"/>
        <w:spacing w:after="120"/>
        <w:ind w:left="360"/>
        <w:rPr>
          <w:b/>
        </w:rPr>
      </w:pPr>
      <w:r>
        <w:rPr>
          <w:b/>
        </w:rPr>
        <w:t xml:space="preserve">Members: Dave Anderson, Norm Beauchamp, Amy Floit, Charles Kennedy </w:t>
      </w:r>
    </w:p>
    <w:p w14:paraId="3C2A1646" w14:textId="11FCA2EE" w:rsidR="00AA1F95" w:rsidRPr="007B5810" w:rsidRDefault="00AA1F95" w:rsidP="00AA1F95">
      <w:pPr>
        <w:pStyle w:val="ListParagraph"/>
        <w:spacing w:after="120"/>
        <w:ind w:left="360"/>
        <w:rPr>
          <w:b/>
        </w:rPr>
      </w:pPr>
      <w:r>
        <w:rPr>
          <w:b/>
        </w:rPr>
        <w:t>Additional participants: Lisa McDonald (OPB)</w:t>
      </w:r>
    </w:p>
    <w:p w14:paraId="6B43358C" w14:textId="0D47C8CC" w:rsidR="008E7A43" w:rsidRDefault="00AA1F95" w:rsidP="008E7A43">
      <w:pPr>
        <w:spacing w:after="120"/>
      </w:pPr>
      <w:r>
        <w:t>FCR identified several areas for exploration, particularly around the lack of knowledge regarding the current method for distributing ICR, the rationale behind the method, and the transition issues faced by the original ABB committee.</w:t>
      </w:r>
    </w:p>
    <w:p w14:paraId="15EEE8F1" w14:textId="4F814768" w:rsidR="00AA1F95" w:rsidRPr="008E7A43" w:rsidRDefault="00AA1F95" w:rsidP="008E7A43">
      <w:pPr>
        <w:spacing w:after="120"/>
      </w:pPr>
      <w:r>
        <w:t xml:space="preserve">This subcommittee is working to accomplish the following in response to FCR’s recommendations and observations: </w:t>
      </w:r>
    </w:p>
    <w:p w14:paraId="0412CBA7" w14:textId="77777777" w:rsidR="00C413FC" w:rsidRPr="008E7A43" w:rsidRDefault="00C413FC" w:rsidP="00C413FC">
      <w:pPr>
        <w:pStyle w:val="ListParagraph"/>
        <w:numPr>
          <w:ilvl w:val="0"/>
          <w:numId w:val="29"/>
        </w:numPr>
        <w:spacing w:after="120"/>
      </w:pPr>
      <w:r>
        <w:t>Write and publish an educational brief providing a</w:t>
      </w:r>
      <w:r w:rsidRPr="008E7A43">
        <w:t xml:space="preserve"> simple explanation about the distribution of ICR for the record. Though the ICR allocation data are extremely difficult to provide as part of a brief, a simple explanation of the transition should be produced with a few examples to highlight the complexity of the</w:t>
      </w:r>
      <w:r>
        <w:t xml:space="preserve"> change.</w:t>
      </w:r>
    </w:p>
    <w:p w14:paraId="601B84E8" w14:textId="77777777" w:rsidR="00C413FC" w:rsidRPr="008E7A43" w:rsidRDefault="00C413FC" w:rsidP="00C413FC">
      <w:pPr>
        <w:pStyle w:val="ListParagraph"/>
        <w:numPr>
          <w:ilvl w:val="0"/>
          <w:numId w:val="29"/>
        </w:numPr>
        <w:spacing w:after="120"/>
      </w:pPr>
      <w:r w:rsidRPr="008E7A43">
        <w:t xml:space="preserve">Though a pool of funds to support collaborative research from the existing pool of funds is not financially feasible at this time, there are funds supporting collaborative research and </w:t>
      </w:r>
      <w:r>
        <w:t>the Office of Research</w:t>
      </w:r>
      <w:r w:rsidRPr="008E7A43">
        <w:t xml:space="preserve"> will </w:t>
      </w:r>
      <w:r>
        <w:t>provide information on the funds currently available.</w:t>
      </w:r>
    </w:p>
    <w:p w14:paraId="1AC69DD0" w14:textId="77777777" w:rsidR="00C413FC" w:rsidRPr="008E7A43" w:rsidRDefault="00C413FC" w:rsidP="00C413FC">
      <w:pPr>
        <w:pStyle w:val="ListParagraph"/>
        <w:numPr>
          <w:ilvl w:val="0"/>
          <w:numId w:val="29"/>
        </w:numPr>
        <w:spacing w:after="120"/>
      </w:pPr>
      <w:r w:rsidRPr="008E7A43">
        <w:t xml:space="preserve">Though there are approximately 288 organized research units (ORUs), their funding and organization are only loosely monitored due to staffing constraints. A subset of these will be researched in order to begin the work of </w:t>
      </w:r>
      <w:r w:rsidRPr="008E7A43">
        <w:lastRenderedPageBreak/>
        <w:t xml:space="preserve">documenting the organizational and financial support of these organizations. If these organizations do not have policies </w:t>
      </w:r>
      <w:r>
        <w:t xml:space="preserve">regarding sharing of ICR return </w:t>
      </w:r>
      <w:r w:rsidRPr="008E7A43">
        <w:t xml:space="preserve">established, then they will be </w:t>
      </w:r>
      <w:r>
        <w:t>asked</w:t>
      </w:r>
      <w:r w:rsidRPr="008E7A43">
        <w:t xml:space="preserve"> to establish policies.</w:t>
      </w:r>
    </w:p>
    <w:p w14:paraId="50A0ECC2" w14:textId="77777777" w:rsidR="00C413FC" w:rsidRDefault="00C413FC" w:rsidP="00C413FC">
      <w:pPr>
        <w:pStyle w:val="ListParagraph"/>
        <w:numPr>
          <w:ilvl w:val="0"/>
          <w:numId w:val="29"/>
        </w:numPr>
        <w:spacing w:after="120"/>
      </w:pPr>
      <w:r>
        <w:t>Make the existing</w:t>
      </w:r>
      <w:r w:rsidRPr="008E7A43">
        <w:t xml:space="preserve"> policy on sharing ICR funds among interdisciplinary research units </w:t>
      </w:r>
      <w:r>
        <w:t xml:space="preserve">more widely known </w:t>
      </w:r>
      <w:r w:rsidRPr="008E7A43">
        <w:t>and make sure the policy binds central matching funds to encourage collaboration.</w:t>
      </w:r>
    </w:p>
    <w:p w14:paraId="2C4CA61E" w14:textId="1FB8FB0D" w:rsidR="00AA1F95" w:rsidRDefault="00AA1F95" w:rsidP="00AA1F95">
      <w:pPr>
        <w:pStyle w:val="ListParagraph"/>
        <w:spacing w:after="120"/>
      </w:pPr>
    </w:p>
    <w:p w14:paraId="2C7D2ECA" w14:textId="0496EA1D" w:rsidR="00AA1F95" w:rsidRPr="008E7A43" w:rsidRDefault="00AA1F95" w:rsidP="00AA1F95">
      <w:pPr>
        <w:pStyle w:val="ListParagraph"/>
        <w:spacing w:after="120"/>
      </w:pPr>
    </w:p>
    <w:p w14:paraId="31FDB8E2" w14:textId="72E3B23F" w:rsidR="00AA1F95" w:rsidRPr="00AA1F95" w:rsidRDefault="00AA1F95" w:rsidP="00AA1F95">
      <w:pPr>
        <w:pStyle w:val="ListParagraph"/>
        <w:numPr>
          <w:ilvl w:val="0"/>
          <w:numId w:val="25"/>
        </w:numPr>
        <w:spacing w:after="120"/>
        <w:rPr>
          <w:b/>
        </w:rPr>
      </w:pPr>
      <w:r>
        <w:rPr>
          <w:b/>
        </w:rPr>
        <w:t>ABB and Graduate/Professional Education</w:t>
      </w:r>
    </w:p>
    <w:p w14:paraId="6DAA836D" w14:textId="619A1739" w:rsidR="00AA1F95" w:rsidRDefault="00AA1F95" w:rsidP="00AA1F95">
      <w:pPr>
        <w:pStyle w:val="ListParagraph"/>
        <w:spacing w:after="120"/>
        <w:ind w:left="360"/>
        <w:rPr>
          <w:b/>
        </w:rPr>
      </w:pPr>
      <w:r>
        <w:rPr>
          <w:b/>
        </w:rPr>
        <w:t xml:space="preserve">Chair: Sandy Archibald and Dave Eaton </w:t>
      </w:r>
    </w:p>
    <w:p w14:paraId="6B90D67B" w14:textId="77777777" w:rsidR="008E7A43" w:rsidRPr="008E7A43" w:rsidRDefault="008E7A43" w:rsidP="008E7A43">
      <w:pPr>
        <w:spacing w:after="120"/>
      </w:pPr>
    </w:p>
    <w:p w14:paraId="2E811F66" w14:textId="78324F11" w:rsidR="008E7A43" w:rsidRPr="008E7A43" w:rsidRDefault="00AA1F95" w:rsidP="008E7A43">
      <w:pPr>
        <w:spacing w:after="120"/>
      </w:pPr>
      <w:r>
        <w:t xml:space="preserve">Dave and Sandy began </w:t>
      </w:r>
      <w:r w:rsidR="008E7A43" w:rsidRPr="008E7A43">
        <w:t xml:space="preserve">preliminary conversations with the deans </w:t>
      </w:r>
      <w:r>
        <w:t>regarding</w:t>
      </w:r>
      <w:r w:rsidR="008E7A43" w:rsidRPr="008E7A43">
        <w:t xml:space="preserve"> graduate tuition, enrollment and </w:t>
      </w:r>
      <w:r>
        <w:t>the effect of waived revenue as an artifact of</w:t>
      </w:r>
      <w:r w:rsidR="008E7A43" w:rsidRPr="008E7A43">
        <w:t xml:space="preserve"> cross</w:t>
      </w:r>
      <w:r>
        <w:t>-</w:t>
      </w:r>
      <w:r w:rsidR="008E7A43" w:rsidRPr="008E7A43">
        <w:t>college hiring. More updates will be provided by Sandy in the next meeting.</w:t>
      </w:r>
    </w:p>
    <w:p w14:paraId="52F732CB" w14:textId="77777777" w:rsidR="00AA1F95" w:rsidRDefault="00AA1F95" w:rsidP="008E7A43">
      <w:pPr>
        <w:spacing w:after="120"/>
      </w:pPr>
    </w:p>
    <w:p w14:paraId="43554404" w14:textId="77777777" w:rsidR="00AA1F95" w:rsidRPr="004349C3" w:rsidRDefault="00AA1F95" w:rsidP="00AA1F95">
      <w:pPr>
        <w:pStyle w:val="ListParagraph"/>
        <w:numPr>
          <w:ilvl w:val="0"/>
          <w:numId w:val="25"/>
        </w:numPr>
        <w:spacing w:after="120"/>
        <w:rPr>
          <w:b/>
        </w:rPr>
      </w:pPr>
      <w:r w:rsidRPr="004349C3">
        <w:rPr>
          <w:b/>
        </w:rPr>
        <w:t xml:space="preserve">ABB FAQs and Online Content Management </w:t>
      </w:r>
    </w:p>
    <w:p w14:paraId="697B796D" w14:textId="2AC97C0A" w:rsidR="008E7A43" w:rsidRPr="008E7A43" w:rsidRDefault="00AA1F95" w:rsidP="004349C3">
      <w:pPr>
        <w:pStyle w:val="ListParagraph"/>
        <w:spacing w:after="120"/>
        <w:ind w:left="360"/>
      </w:pPr>
      <w:r>
        <w:t>Finally, the entire ABB Phase II committee is responsible for b</w:t>
      </w:r>
      <w:r w:rsidR="008E7A43" w:rsidRPr="008E7A43">
        <w:t xml:space="preserve">rainstorming ideas </w:t>
      </w:r>
      <w:r w:rsidR="004349C3">
        <w:t xml:space="preserve">to facilitate better understanding of the ABB model. Though its web presence is vastly improved, more work remains. The work includes, but is not limited to, producing an online form for questions and suggestions, publishing ABB tutorials in varying formats, producing an exhaustive and approachable list of FAQs, and convening periodic educational sessions. </w:t>
      </w:r>
    </w:p>
    <w:p w14:paraId="3EEF04EE" w14:textId="77777777" w:rsidR="008E7A43" w:rsidRPr="008E7A43" w:rsidRDefault="008E7A43" w:rsidP="008E7A43">
      <w:pPr>
        <w:spacing w:after="120"/>
      </w:pPr>
    </w:p>
    <w:p w14:paraId="3AAB8B9C" w14:textId="7A20B239" w:rsidR="00A44EDB" w:rsidRPr="008E7A43" w:rsidRDefault="00A44EDB" w:rsidP="008E7A43">
      <w:pPr>
        <w:spacing w:after="120"/>
      </w:pPr>
    </w:p>
    <w:sectPr w:rsidR="00A44EDB" w:rsidRPr="008E7A43" w:rsidSect="005D6438">
      <w:headerReference w:type="default" r:id="rId20"/>
      <w:footerReference w:type="default" r:id="rId2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633FE" w14:textId="77777777" w:rsidR="005F0654" w:rsidRDefault="005F0654" w:rsidP="0005376F">
      <w:pPr>
        <w:spacing w:after="0" w:line="240" w:lineRule="auto"/>
      </w:pPr>
      <w:r>
        <w:separator/>
      </w:r>
    </w:p>
  </w:endnote>
  <w:endnote w:type="continuationSeparator" w:id="0">
    <w:p w14:paraId="6202CD73" w14:textId="77777777" w:rsidR="005F0654" w:rsidRDefault="005F0654" w:rsidP="0005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4" w:space="0" w:color="auto"/>
      </w:tblBorders>
      <w:tblLook w:val="04A0" w:firstRow="1" w:lastRow="0" w:firstColumn="1" w:lastColumn="0" w:noHBand="0" w:noVBand="1"/>
    </w:tblPr>
    <w:tblGrid>
      <w:gridCol w:w="5364"/>
      <w:gridCol w:w="5436"/>
    </w:tblGrid>
    <w:tr w:rsidR="005F0654" w14:paraId="0EF1089F" w14:textId="77777777">
      <w:trPr>
        <w:trHeight w:val="480"/>
      </w:trPr>
      <w:tc>
        <w:tcPr>
          <w:tcW w:w="5508" w:type="dxa"/>
          <w:vAlign w:val="center"/>
        </w:tcPr>
        <w:p w14:paraId="3B34DA62" w14:textId="77777777" w:rsidR="005F0654" w:rsidRPr="00D452A6" w:rsidRDefault="005F0654" w:rsidP="007D1BB8">
          <w:pPr>
            <w:pStyle w:val="Footer"/>
            <w:rPr>
              <w:rStyle w:val="Hyperlink"/>
            </w:rPr>
          </w:pPr>
          <w:r>
            <w:rPr>
              <w:sz w:val="20"/>
              <w:szCs w:val="20"/>
            </w:rPr>
            <w:fldChar w:fldCharType="begin"/>
          </w:r>
          <w:r>
            <w:rPr>
              <w:sz w:val="20"/>
              <w:szCs w:val="20"/>
            </w:rPr>
            <w:instrText>HYPERLINK "\\\\nebula2.washington.edu\\uw\\groups\\opb\\COMMON\\Presentations\\2013 Presentations\\opb.washington.edu"</w:instrText>
          </w:r>
          <w:r>
            <w:rPr>
              <w:sz w:val="20"/>
              <w:szCs w:val="20"/>
            </w:rPr>
            <w:fldChar w:fldCharType="separate"/>
          </w:r>
          <w:r w:rsidRPr="00D452A6">
            <w:rPr>
              <w:rStyle w:val="Hyperlink"/>
              <w:sz w:val="20"/>
              <w:szCs w:val="20"/>
            </w:rPr>
            <w:t>opb.washington.edu</w:t>
          </w:r>
        </w:p>
        <w:p w14:paraId="75AAAFD3" w14:textId="7841F3F6" w:rsidR="005F0654" w:rsidRPr="000D4CA5" w:rsidRDefault="005F0654" w:rsidP="007D1BB8">
          <w:pPr>
            <w:pStyle w:val="Footer"/>
            <w:rPr>
              <w:b/>
              <w:szCs w:val="24"/>
            </w:rPr>
          </w:pPr>
          <w:r>
            <w:rPr>
              <w:sz w:val="20"/>
              <w:szCs w:val="20"/>
            </w:rPr>
            <w:fldChar w:fldCharType="end"/>
          </w:r>
          <w:r>
            <w:rPr>
              <w:b/>
              <w:szCs w:val="24"/>
            </w:rPr>
            <w:t xml:space="preserve">Page </w:t>
          </w:r>
          <w:r w:rsidRPr="00C30A88">
            <w:rPr>
              <w:b/>
              <w:szCs w:val="24"/>
            </w:rPr>
            <w:fldChar w:fldCharType="begin"/>
          </w:r>
          <w:r w:rsidRPr="00C30A88">
            <w:rPr>
              <w:b/>
              <w:sz w:val="20"/>
            </w:rPr>
            <w:instrText xml:space="preserve"> PAGE </w:instrText>
          </w:r>
          <w:r w:rsidRPr="00C30A88">
            <w:rPr>
              <w:b/>
              <w:szCs w:val="24"/>
            </w:rPr>
            <w:fldChar w:fldCharType="separate"/>
          </w:r>
          <w:r w:rsidR="00C2648B">
            <w:rPr>
              <w:b/>
              <w:noProof/>
              <w:sz w:val="20"/>
            </w:rPr>
            <w:t>4</w:t>
          </w:r>
          <w:r w:rsidRPr="00C30A88">
            <w:rPr>
              <w:b/>
              <w:szCs w:val="24"/>
            </w:rPr>
            <w:fldChar w:fldCharType="end"/>
          </w:r>
        </w:p>
      </w:tc>
      <w:tc>
        <w:tcPr>
          <w:tcW w:w="5508" w:type="dxa"/>
          <w:vAlign w:val="bottom"/>
        </w:tcPr>
        <w:p w14:paraId="302823C5" w14:textId="77777777" w:rsidR="005F0654" w:rsidRDefault="005F0654" w:rsidP="007D1BB8">
          <w:pPr>
            <w:pStyle w:val="Footer"/>
            <w:jc w:val="right"/>
          </w:pPr>
          <w:r>
            <w:rPr>
              <w:noProof/>
            </w:rPr>
            <w:drawing>
              <wp:inline distT="0" distB="0" distL="0" distR="0" wp14:anchorId="10B37BDB" wp14:editId="50A33BFA">
                <wp:extent cx="2190750" cy="257175"/>
                <wp:effectExtent l="19050" t="0" r="0" b="0"/>
                <wp:docPr id="6" name="Picture 1" descr="UW_OP&amp;B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OP&amp;B_sml"/>
                        <pic:cNvPicPr>
                          <a:picLocks noChangeAspect="1" noChangeArrowheads="1"/>
                        </pic:cNvPicPr>
                      </pic:nvPicPr>
                      <pic:blipFill>
                        <a:blip r:embed="rId1"/>
                        <a:srcRect/>
                        <a:stretch>
                          <a:fillRect/>
                        </a:stretch>
                      </pic:blipFill>
                      <pic:spPr bwMode="auto">
                        <a:xfrm>
                          <a:off x="0" y="0"/>
                          <a:ext cx="2190750" cy="257175"/>
                        </a:xfrm>
                        <a:prstGeom prst="rect">
                          <a:avLst/>
                        </a:prstGeom>
                        <a:noFill/>
                        <a:ln w="9525">
                          <a:noFill/>
                          <a:miter lim="800000"/>
                          <a:headEnd/>
                          <a:tailEnd/>
                        </a:ln>
                      </pic:spPr>
                    </pic:pic>
                  </a:graphicData>
                </a:graphic>
              </wp:inline>
            </w:drawing>
          </w:r>
        </w:p>
      </w:tc>
    </w:tr>
  </w:tbl>
  <w:p w14:paraId="4FE47D40" w14:textId="77777777" w:rsidR="005F0654" w:rsidRDefault="005F0654" w:rsidP="00053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C3B73" w14:textId="77777777" w:rsidR="005F0654" w:rsidRDefault="005F0654" w:rsidP="0005376F">
      <w:pPr>
        <w:spacing w:after="0" w:line="240" w:lineRule="auto"/>
      </w:pPr>
      <w:r>
        <w:separator/>
      </w:r>
    </w:p>
  </w:footnote>
  <w:footnote w:type="continuationSeparator" w:id="0">
    <w:p w14:paraId="4D174054" w14:textId="77777777" w:rsidR="005F0654" w:rsidRDefault="005F0654" w:rsidP="0005376F">
      <w:pPr>
        <w:spacing w:after="0" w:line="240" w:lineRule="auto"/>
      </w:pPr>
      <w:r>
        <w:continuationSeparator/>
      </w:r>
    </w:p>
  </w:footnote>
  <w:footnote w:id="1">
    <w:p w14:paraId="2949942C" w14:textId="57361D8C" w:rsidR="00DE0A50" w:rsidRDefault="00DE0A50">
      <w:pPr>
        <w:pStyle w:val="FootnoteText"/>
      </w:pPr>
      <w:r>
        <w:rPr>
          <w:rStyle w:val="FootnoteReference"/>
        </w:rPr>
        <w:footnoteRef/>
      </w:r>
      <w:r>
        <w:t xml:space="preserve"> </w:t>
      </w:r>
      <w:r w:rsidR="007B5810">
        <w:t>C</w:t>
      </w:r>
      <w:r>
        <w:t xml:space="preserve">harge letter available here: </w:t>
      </w:r>
      <w:hyperlink r:id="rId1" w:history="1">
        <w:r w:rsidR="000B2510" w:rsidRPr="0025768E">
          <w:rPr>
            <w:rStyle w:val="Hyperlink"/>
          </w:rPr>
          <w:t>http://opb.washington.edu/sites/default/files/opb/Budget/Narratives/ABB%20Phase%20II%20Committee%20-%20Feb%202016.pdf</w:t>
        </w:r>
      </w:hyperlink>
      <w:r w:rsidR="007B581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4794"/>
    </w:tblGrid>
    <w:tr w:rsidR="005F0654" w14:paraId="6D9804F1" w14:textId="77777777">
      <w:trPr>
        <w:trHeight w:val="540"/>
      </w:trPr>
      <w:tc>
        <w:tcPr>
          <w:tcW w:w="6006" w:type="dxa"/>
          <w:vAlign w:val="center"/>
        </w:tcPr>
        <w:p w14:paraId="6768364A" w14:textId="77777777" w:rsidR="005F0654" w:rsidRDefault="005F0654" w:rsidP="007D1BB8">
          <w:pPr>
            <w:pStyle w:val="Header"/>
          </w:pPr>
          <w:r>
            <w:rPr>
              <w:noProof/>
            </w:rPr>
            <w:drawing>
              <wp:inline distT="0" distB="0" distL="0" distR="0" wp14:anchorId="5090A5B5" wp14:editId="5831FC93">
                <wp:extent cx="3657600" cy="285750"/>
                <wp:effectExtent l="19050" t="0" r="0" b="0"/>
                <wp:docPr id="5" name="Picture 1" descr="C:\Users\kkuenzi\AppData\Local\Microsoft\Windows\Temporary Internet Files\Content.Word\UW.Signature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enzi\AppData\Local\Microsoft\Windows\Temporary Internet Files\Content.Word\UW.Signature_left.jpg"/>
                        <pic:cNvPicPr>
                          <a:picLocks noChangeAspect="1" noChangeArrowheads="1"/>
                        </pic:cNvPicPr>
                      </pic:nvPicPr>
                      <pic:blipFill>
                        <a:blip r:embed="rId1"/>
                        <a:srcRect/>
                        <a:stretch>
                          <a:fillRect/>
                        </a:stretch>
                      </pic:blipFill>
                      <pic:spPr bwMode="auto">
                        <a:xfrm>
                          <a:off x="0" y="0"/>
                          <a:ext cx="3657600" cy="285750"/>
                        </a:xfrm>
                        <a:prstGeom prst="rect">
                          <a:avLst/>
                        </a:prstGeom>
                        <a:noFill/>
                        <a:ln w="9525">
                          <a:noFill/>
                          <a:miter lim="800000"/>
                          <a:headEnd/>
                          <a:tailEnd/>
                        </a:ln>
                      </pic:spPr>
                    </pic:pic>
                  </a:graphicData>
                </a:graphic>
              </wp:inline>
            </w:drawing>
          </w:r>
        </w:p>
      </w:tc>
      <w:tc>
        <w:tcPr>
          <w:tcW w:w="5010" w:type="dxa"/>
          <w:vAlign w:val="center"/>
        </w:tcPr>
        <w:p w14:paraId="23F79EE9" w14:textId="77777777" w:rsidR="005F0654" w:rsidRPr="00123215" w:rsidRDefault="005F0654" w:rsidP="007D1BB8">
          <w:pPr>
            <w:pStyle w:val="Header"/>
            <w:jc w:val="right"/>
            <w:rPr>
              <w:b/>
              <w:sz w:val="36"/>
              <w:szCs w:val="36"/>
            </w:rPr>
          </w:pPr>
          <w:r w:rsidRPr="00123215">
            <w:rPr>
              <w:b/>
              <w:sz w:val="36"/>
              <w:szCs w:val="36"/>
            </w:rPr>
            <w:t>Planning &amp; Budgeting Brief</w:t>
          </w:r>
        </w:p>
      </w:tc>
    </w:tr>
  </w:tbl>
  <w:p w14:paraId="7C028982" w14:textId="77777777" w:rsidR="005F0654" w:rsidRDefault="005F0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D82"/>
    <w:multiLevelType w:val="hybridMultilevel"/>
    <w:tmpl w:val="27E84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54A1C"/>
    <w:multiLevelType w:val="hybridMultilevel"/>
    <w:tmpl w:val="975897C0"/>
    <w:lvl w:ilvl="0" w:tplc="49F0CA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B1E42"/>
    <w:multiLevelType w:val="hybridMultilevel"/>
    <w:tmpl w:val="9BC42B86"/>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B59F0"/>
    <w:multiLevelType w:val="hybridMultilevel"/>
    <w:tmpl w:val="251E45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C45DB"/>
    <w:multiLevelType w:val="hybridMultilevel"/>
    <w:tmpl w:val="45180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33251E"/>
    <w:multiLevelType w:val="hybridMultilevel"/>
    <w:tmpl w:val="6750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156757"/>
    <w:multiLevelType w:val="hybridMultilevel"/>
    <w:tmpl w:val="84923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37ED4"/>
    <w:multiLevelType w:val="hybridMultilevel"/>
    <w:tmpl w:val="3ACAD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C559A"/>
    <w:multiLevelType w:val="hybridMultilevel"/>
    <w:tmpl w:val="86E4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C07AB"/>
    <w:multiLevelType w:val="hybridMultilevel"/>
    <w:tmpl w:val="A4B6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F395E"/>
    <w:multiLevelType w:val="hybridMultilevel"/>
    <w:tmpl w:val="AAF85812"/>
    <w:lvl w:ilvl="0" w:tplc="1F8EDC36">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20468"/>
    <w:multiLevelType w:val="hybridMultilevel"/>
    <w:tmpl w:val="8D0A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56FB6"/>
    <w:multiLevelType w:val="hybridMultilevel"/>
    <w:tmpl w:val="9E48B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5CE3645"/>
    <w:multiLevelType w:val="hybridMultilevel"/>
    <w:tmpl w:val="AB5422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E2284D"/>
    <w:multiLevelType w:val="hybridMultilevel"/>
    <w:tmpl w:val="B3A65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B21EDA"/>
    <w:multiLevelType w:val="hybridMultilevel"/>
    <w:tmpl w:val="6D8E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3423A"/>
    <w:multiLevelType w:val="hybridMultilevel"/>
    <w:tmpl w:val="D194A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A5661"/>
    <w:multiLevelType w:val="hybridMultilevel"/>
    <w:tmpl w:val="5BD67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B21A1E"/>
    <w:multiLevelType w:val="hybridMultilevel"/>
    <w:tmpl w:val="5C28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C1265"/>
    <w:multiLevelType w:val="hybridMultilevel"/>
    <w:tmpl w:val="D96A3D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5CF204AD"/>
    <w:multiLevelType w:val="hybridMultilevel"/>
    <w:tmpl w:val="C12668E2"/>
    <w:lvl w:ilvl="0" w:tplc="04090013">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6E5EFD"/>
    <w:multiLevelType w:val="hybridMultilevel"/>
    <w:tmpl w:val="B606A3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F80B6B"/>
    <w:multiLevelType w:val="hybridMultilevel"/>
    <w:tmpl w:val="723CEE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4B0451"/>
    <w:multiLevelType w:val="multilevel"/>
    <w:tmpl w:val="AEA0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6D7FC1"/>
    <w:multiLevelType w:val="hybridMultilevel"/>
    <w:tmpl w:val="50E86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47313E"/>
    <w:multiLevelType w:val="hybridMultilevel"/>
    <w:tmpl w:val="A28C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8044E"/>
    <w:multiLevelType w:val="hybridMultilevel"/>
    <w:tmpl w:val="CD7A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51616"/>
    <w:multiLevelType w:val="hybridMultilevel"/>
    <w:tmpl w:val="F324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65CE9"/>
    <w:multiLevelType w:val="hybridMultilevel"/>
    <w:tmpl w:val="C1BCE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12"/>
  </w:num>
  <w:num w:numId="4">
    <w:abstractNumId w:val="9"/>
  </w:num>
  <w:num w:numId="5">
    <w:abstractNumId w:val="8"/>
  </w:num>
  <w:num w:numId="6">
    <w:abstractNumId w:val="18"/>
  </w:num>
  <w:num w:numId="7">
    <w:abstractNumId w:val="25"/>
  </w:num>
  <w:num w:numId="8">
    <w:abstractNumId w:val="4"/>
  </w:num>
  <w:num w:numId="9">
    <w:abstractNumId w:val="26"/>
  </w:num>
  <w:num w:numId="10">
    <w:abstractNumId w:val="10"/>
  </w:num>
  <w:num w:numId="11">
    <w:abstractNumId w:val="17"/>
  </w:num>
  <w:num w:numId="12">
    <w:abstractNumId w:val="15"/>
  </w:num>
  <w:num w:numId="13">
    <w:abstractNumId w:val="28"/>
  </w:num>
  <w:num w:numId="14">
    <w:abstractNumId w:val="7"/>
  </w:num>
  <w:num w:numId="15">
    <w:abstractNumId w:val="11"/>
  </w:num>
  <w:num w:numId="16">
    <w:abstractNumId w:val="2"/>
  </w:num>
  <w:num w:numId="17">
    <w:abstractNumId w:val="20"/>
  </w:num>
  <w:num w:numId="18">
    <w:abstractNumId w:val="3"/>
  </w:num>
  <w:num w:numId="19">
    <w:abstractNumId w:val="14"/>
  </w:num>
  <w:num w:numId="20">
    <w:abstractNumId w:val="13"/>
  </w:num>
  <w:num w:numId="21">
    <w:abstractNumId w:val="5"/>
  </w:num>
  <w:num w:numId="22">
    <w:abstractNumId w:val="1"/>
  </w:num>
  <w:num w:numId="23">
    <w:abstractNumId w:val="27"/>
  </w:num>
  <w:num w:numId="24">
    <w:abstractNumId w:val="16"/>
  </w:num>
  <w:num w:numId="25">
    <w:abstractNumId w:val="24"/>
  </w:num>
  <w:num w:numId="26">
    <w:abstractNumId w:val="23"/>
  </w:num>
  <w:num w:numId="27">
    <w:abstractNumId w:val="21"/>
  </w:num>
  <w:num w:numId="28">
    <w:abstractNumId w:val="2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45"/>
    <w:rsid w:val="00006FB0"/>
    <w:rsid w:val="00010888"/>
    <w:rsid w:val="000131C3"/>
    <w:rsid w:val="00024690"/>
    <w:rsid w:val="000255A5"/>
    <w:rsid w:val="0005376F"/>
    <w:rsid w:val="00096D6F"/>
    <w:rsid w:val="000A03B8"/>
    <w:rsid w:val="000A565F"/>
    <w:rsid w:val="000B024E"/>
    <w:rsid w:val="000B2510"/>
    <w:rsid w:val="000B28B3"/>
    <w:rsid w:val="000B529A"/>
    <w:rsid w:val="000D30EF"/>
    <w:rsid w:val="000D4CA5"/>
    <w:rsid w:val="000E1255"/>
    <w:rsid w:val="00100CFC"/>
    <w:rsid w:val="00104040"/>
    <w:rsid w:val="00104370"/>
    <w:rsid w:val="001159A4"/>
    <w:rsid w:val="00135C08"/>
    <w:rsid w:val="00141F60"/>
    <w:rsid w:val="001469E4"/>
    <w:rsid w:val="00154C4D"/>
    <w:rsid w:val="00174386"/>
    <w:rsid w:val="00186859"/>
    <w:rsid w:val="00195E13"/>
    <w:rsid w:val="00195E84"/>
    <w:rsid w:val="00196096"/>
    <w:rsid w:val="00197C91"/>
    <w:rsid w:val="001A7BD8"/>
    <w:rsid w:val="001B2F59"/>
    <w:rsid w:val="001B4778"/>
    <w:rsid w:val="001B6481"/>
    <w:rsid w:val="001C28CE"/>
    <w:rsid w:val="001C377E"/>
    <w:rsid w:val="001D7DA7"/>
    <w:rsid w:val="001F0F60"/>
    <w:rsid w:val="001F4EED"/>
    <w:rsid w:val="001F5E9C"/>
    <w:rsid w:val="001F69FA"/>
    <w:rsid w:val="0020515D"/>
    <w:rsid w:val="002063B7"/>
    <w:rsid w:val="00215DA0"/>
    <w:rsid w:val="00243738"/>
    <w:rsid w:val="00267CEC"/>
    <w:rsid w:val="002705AB"/>
    <w:rsid w:val="002822A4"/>
    <w:rsid w:val="00284199"/>
    <w:rsid w:val="00297995"/>
    <w:rsid w:val="002A1597"/>
    <w:rsid w:val="002A3AE7"/>
    <w:rsid w:val="002B5808"/>
    <w:rsid w:val="002B7932"/>
    <w:rsid w:val="002F7DE8"/>
    <w:rsid w:val="00304F61"/>
    <w:rsid w:val="003058D8"/>
    <w:rsid w:val="0030651E"/>
    <w:rsid w:val="003310AF"/>
    <w:rsid w:val="003368A3"/>
    <w:rsid w:val="00340D6E"/>
    <w:rsid w:val="00347545"/>
    <w:rsid w:val="00356607"/>
    <w:rsid w:val="00357141"/>
    <w:rsid w:val="00366099"/>
    <w:rsid w:val="00372DF5"/>
    <w:rsid w:val="00387CA8"/>
    <w:rsid w:val="00394FC3"/>
    <w:rsid w:val="003A2BB6"/>
    <w:rsid w:val="003B5B47"/>
    <w:rsid w:val="003C0FA8"/>
    <w:rsid w:val="003C29ED"/>
    <w:rsid w:val="003D4FB0"/>
    <w:rsid w:val="003E2703"/>
    <w:rsid w:val="003E39F8"/>
    <w:rsid w:val="003E42AD"/>
    <w:rsid w:val="003F6220"/>
    <w:rsid w:val="004016A8"/>
    <w:rsid w:val="00407861"/>
    <w:rsid w:val="004113DA"/>
    <w:rsid w:val="00426B7E"/>
    <w:rsid w:val="00427F38"/>
    <w:rsid w:val="0043150D"/>
    <w:rsid w:val="004349C3"/>
    <w:rsid w:val="004379D3"/>
    <w:rsid w:val="00441A69"/>
    <w:rsid w:val="004431F9"/>
    <w:rsid w:val="00455343"/>
    <w:rsid w:val="004723DA"/>
    <w:rsid w:val="0047453A"/>
    <w:rsid w:val="00484BB8"/>
    <w:rsid w:val="004954E3"/>
    <w:rsid w:val="004B3197"/>
    <w:rsid w:val="004B3AD5"/>
    <w:rsid w:val="004B547F"/>
    <w:rsid w:val="004C0E44"/>
    <w:rsid w:val="004C3F7B"/>
    <w:rsid w:val="004E17D3"/>
    <w:rsid w:val="004E409F"/>
    <w:rsid w:val="004E5E5F"/>
    <w:rsid w:val="004F1A55"/>
    <w:rsid w:val="004F6A47"/>
    <w:rsid w:val="00502899"/>
    <w:rsid w:val="00504F74"/>
    <w:rsid w:val="0051323C"/>
    <w:rsid w:val="005330AF"/>
    <w:rsid w:val="00562800"/>
    <w:rsid w:val="00594B50"/>
    <w:rsid w:val="00597728"/>
    <w:rsid w:val="005A2EC4"/>
    <w:rsid w:val="005B2369"/>
    <w:rsid w:val="005C59EE"/>
    <w:rsid w:val="005C6849"/>
    <w:rsid w:val="005D6438"/>
    <w:rsid w:val="005F0654"/>
    <w:rsid w:val="005F12BD"/>
    <w:rsid w:val="006066DB"/>
    <w:rsid w:val="0061457D"/>
    <w:rsid w:val="00617249"/>
    <w:rsid w:val="00631F16"/>
    <w:rsid w:val="00663529"/>
    <w:rsid w:val="006703D8"/>
    <w:rsid w:val="00670531"/>
    <w:rsid w:val="00670B8B"/>
    <w:rsid w:val="00682EFA"/>
    <w:rsid w:val="00687B15"/>
    <w:rsid w:val="00696802"/>
    <w:rsid w:val="006A7DF5"/>
    <w:rsid w:val="006D3FCB"/>
    <w:rsid w:val="006E0655"/>
    <w:rsid w:val="006F357F"/>
    <w:rsid w:val="006F5EF4"/>
    <w:rsid w:val="007021CD"/>
    <w:rsid w:val="00714E6C"/>
    <w:rsid w:val="00725860"/>
    <w:rsid w:val="007323C0"/>
    <w:rsid w:val="007324F5"/>
    <w:rsid w:val="00743421"/>
    <w:rsid w:val="00756285"/>
    <w:rsid w:val="00761001"/>
    <w:rsid w:val="00764F88"/>
    <w:rsid w:val="007945D1"/>
    <w:rsid w:val="007A301D"/>
    <w:rsid w:val="007B2F68"/>
    <w:rsid w:val="007B5810"/>
    <w:rsid w:val="007D042B"/>
    <w:rsid w:val="007D1BB8"/>
    <w:rsid w:val="007D2E1D"/>
    <w:rsid w:val="007D64B2"/>
    <w:rsid w:val="007D6F9A"/>
    <w:rsid w:val="007D703D"/>
    <w:rsid w:val="007E1D65"/>
    <w:rsid w:val="007F0016"/>
    <w:rsid w:val="00800CF9"/>
    <w:rsid w:val="00803984"/>
    <w:rsid w:val="00807D5B"/>
    <w:rsid w:val="00816539"/>
    <w:rsid w:val="008172A0"/>
    <w:rsid w:val="008342B2"/>
    <w:rsid w:val="008358FD"/>
    <w:rsid w:val="008446F9"/>
    <w:rsid w:val="00853A47"/>
    <w:rsid w:val="00860317"/>
    <w:rsid w:val="008634D0"/>
    <w:rsid w:val="00881489"/>
    <w:rsid w:val="0088225A"/>
    <w:rsid w:val="00892670"/>
    <w:rsid w:val="008A606B"/>
    <w:rsid w:val="008A7928"/>
    <w:rsid w:val="008B3812"/>
    <w:rsid w:val="008B4298"/>
    <w:rsid w:val="008C2887"/>
    <w:rsid w:val="008D2BCE"/>
    <w:rsid w:val="008D3CAE"/>
    <w:rsid w:val="008E2050"/>
    <w:rsid w:val="008E24C1"/>
    <w:rsid w:val="008E7A43"/>
    <w:rsid w:val="008F6D74"/>
    <w:rsid w:val="009005FD"/>
    <w:rsid w:val="00932093"/>
    <w:rsid w:val="00942497"/>
    <w:rsid w:val="0095615A"/>
    <w:rsid w:val="00971417"/>
    <w:rsid w:val="00973527"/>
    <w:rsid w:val="00973AAA"/>
    <w:rsid w:val="00974852"/>
    <w:rsid w:val="009815BF"/>
    <w:rsid w:val="009935EE"/>
    <w:rsid w:val="00997EA4"/>
    <w:rsid w:val="009A628A"/>
    <w:rsid w:val="009C5A51"/>
    <w:rsid w:val="009E090C"/>
    <w:rsid w:val="009E2693"/>
    <w:rsid w:val="009F177A"/>
    <w:rsid w:val="009F6F51"/>
    <w:rsid w:val="00A00538"/>
    <w:rsid w:val="00A0279A"/>
    <w:rsid w:val="00A15BC1"/>
    <w:rsid w:val="00A1693E"/>
    <w:rsid w:val="00A237EE"/>
    <w:rsid w:val="00A349CF"/>
    <w:rsid w:val="00A44EDB"/>
    <w:rsid w:val="00A51F92"/>
    <w:rsid w:val="00A704EF"/>
    <w:rsid w:val="00A777EA"/>
    <w:rsid w:val="00A865E8"/>
    <w:rsid w:val="00A86FF5"/>
    <w:rsid w:val="00A9536B"/>
    <w:rsid w:val="00AA0F2A"/>
    <w:rsid w:val="00AA1F95"/>
    <w:rsid w:val="00AC24B9"/>
    <w:rsid w:val="00AD62C6"/>
    <w:rsid w:val="00AE14AF"/>
    <w:rsid w:val="00AF1D25"/>
    <w:rsid w:val="00AF20BD"/>
    <w:rsid w:val="00AF2E88"/>
    <w:rsid w:val="00B22AA1"/>
    <w:rsid w:val="00B2453A"/>
    <w:rsid w:val="00B257FA"/>
    <w:rsid w:val="00B3243C"/>
    <w:rsid w:val="00B33B38"/>
    <w:rsid w:val="00B4073D"/>
    <w:rsid w:val="00B45294"/>
    <w:rsid w:val="00B53C45"/>
    <w:rsid w:val="00B55888"/>
    <w:rsid w:val="00B634C5"/>
    <w:rsid w:val="00B7685E"/>
    <w:rsid w:val="00B870BC"/>
    <w:rsid w:val="00B9189F"/>
    <w:rsid w:val="00B92DC3"/>
    <w:rsid w:val="00BB2D67"/>
    <w:rsid w:val="00BE245B"/>
    <w:rsid w:val="00C05B1E"/>
    <w:rsid w:val="00C1798C"/>
    <w:rsid w:val="00C2648B"/>
    <w:rsid w:val="00C319C1"/>
    <w:rsid w:val="00C413FC"/>
    <w:rsid w:val="00C44426"/>
    <w:rsid w:val="00C5462D"/>
    <w:rsid w:val="00C573B4"/>
    <w:rsid w:val="00C67527"/>
    <w:rsid w:val="00C7036A"/>
    <w:rsid w:val="00C742F6"/>
    <w:rsid w:val="00C90324"/>
    <w:rsid w:val="00C95F82"/>
    <w:rsid w:val="00CA2863"/>
    <w:rsid w:val="00CA62AC"/>
    <w:rsid w:val="00CB1AB2"/>
    <w:rsid w:val="00CE6CD5"/>
    <w:rsid w:val="00CF16F0"/>
    <w:rsid w:val="00D07622"/>
    <w:rsid w:val="00D07A29"/>
    <w:rsid w:val="00D40851"/>
    <w:rsid w:val="00D452A6"/>
    <w:rsid w:val="00D5721B"/>
    <w:rsid w:val="00D61051"/>
    <w:rsid w:val="00D669EE"/>
    <w:rsid w:val="00D82CD6"/>
    <w:rsid w:val="00D87038"/>
    <w:rsid w:val="00D904AA"/>
    <w:rsid w:val="00D9100F"/>
    <w:rsid w:val="00D94DED"/>
    <w:rsid w:val="00DB558A"/>
    <w:rsid w:val="00DC0436"/>
    <w:rsid w:val="00DD16DC"/>
    <w:rsid w:val="00DD5ECD"/>
    <w:rsid w:val="00DD79BC"/>
    <w:rsid w:val="00DE0A50"/>
    <w:rsid w:val="00DF1A14"/>
    <w:rsid w:val="00E0386E"/>
    <w:rsid w:val="00E056CE"/>
    <w:rsid w:val="00E063C9"/>
    <w:rsid w:val="00E12A47"/>
    <w:rsid w:val="00E251D6"/>
    <w:rsid w:val="00E342F4"/>
    <w:rsid w:val="00E516D9"/>
    <w:rsid w:val="00E533A3"/>
    <w:rsid w:val="00E53A39"/>
    <w:rsid w:val="00E56AFF"/>
    <w:rsid w:val="00E61FF3"/>
    <w:rsid w:val="00E65CED"/>
    <w:rsid w:val="00E765BD"/>
    <w:rsid w:val="00E945A6"/>
    <w:rsid w:val="00EA603F"/>
    <w:rsid w:val="00EB084C"/>
    <w:rsid w:val="00EB6BF7"/>
    <w:rsid w:val="00EC1753"/>
    <w:rsid w:val="00EC247B"/>
    <w:rsid w:val="00ED7CF0"/>
    <w:rsid w:val="00EE5796"/>
    <w:rsid w:val="00F04F3D"/>
    <w:rsid w:val="00F13725"/>
    <w:rsid w:val="00F16E3C"/>
    <w:rsid w:val="00F1775B"/>
    <w:rsid w:val="00F24F70"/>
    <w:rsid w:val="00F364EB"/>
    <w:rsid w:val="00F372C9"/>
    <w:rsid w:val="00F45358"/>
    <w:rsid w:val="00F5415F"/>
    <w:rsid w:val="00F558B0"/>
    <w:rsid w:val="00F564DC"/>
    <w:rsid w:val="00F62131"/>
    <w:rsid w:val="00F64E4B"/>
    <w:rsid w:val="00F65E8B"/>
    <w:rsid w:val="00F74695"/>
    <w:rsid w:val="00F75354"/>
    <w:rsid w:val="00F873C6"/>
    <w:rsid w:val="00F91175"/>
    <w:rsid w:val="00FA1A50"/>
    <w:rsid w:val="00FB73B6"/>
    <w:rsid w:val="00FC1608"/>
    <w:rsid w:val="00FC3A3A"/>
    <w:rsid w:val="00FE51A1"/>
    <w:rsid w:val="00FF2341"/>
    <w:rsid w:val="00FF3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41E55A"/>
  <w15:docId w15:val="{A67461AA-83A0-4DDE-8F8D-CF682967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7EE"/>
  </w:style>
  <w:style w:type="paragraph" w:styleId="Heading1">
    <w:name w:val="heading 1"/>
    <w:basedOn w:val="Normal"/>
    <w:next w:val="Normal"/>
    <w:link w:val="Heading1Char"/>
    <w:uiPriority w:val="9"/>
    <w:qFormat/>
    <w:rsid w:val="008E7A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6F"/>
  </w:style>
  <w:style w:type="paragraph" w:styleId="Footer">
    <w:name w:val="footer"/>
    <w:basedOn w:val="Normal"/>
    <w:link w:val="FooterChar"/>
    <w:uiPriority w:val="99"/>
    <w:unhideWhenUsed/>
    <w:rsid w:val="00053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6F"/>
  </w:style>
  <w:style w:type="paragraph" w:styleId="BalloonText">
    <w:name w:val="Balloon Text"/>
    <w:basedOn w:val="Normal"/>
    <w:link w:val="BalloonTextChar"/>
    <w:uiPriority w:val="99"/>
    <w:semiHidden/>
    <w:unhideWhenUsed/>
    <w:rsid w:val="00053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6F"/>
    <w:rPr>
      <w:rFonts w:ascii="Tahoma" w:hAnsi="Tahoma" w:cs="Tahoma"/>
      <w:sz w:val="16"/>
      <w:szCs w:val="16"/>
    </w:rPr>
  </w:style>
  <w:style w:type="table" w:styleId="TableGrid">
    <w:name w:val="Table Grid"/>
    <w:basedOn w:val="TableNormal"/>
    <w:uiPriority w:val="59"/>
    <w:rsid w:val="000537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5808"/>
    <w:pPr>
      <w:ind w:left="720"/>
      <w:contextualSpacing/>
    </w:pPr>
  </w:style>
  <w:style w:type="character" w:styleId="Hyperlink">
    <w:name w:val="Hyperlink"/>
    <w:basedOn w:val="DefaultParagraphFont"/>
    <w:uiPriority w:val="99"/>
    <w:unhideWhenUsed/>
    <w:rsid w:val="002B5808"/>
    <w:rPr>
      <w:color w:val="0000FF" w:themeColor="hyperlink"/>
      <w:u w:val="single"/>
    </w:rPr>
  </w:style>
  <w:style w:type="character" w:styleId="CommentReference">
    <w:name w:val="annotation reference"/>
    <w:basedOn w:val="DefaultParagraphFont"/>
    <w:uiPriority w:val="99"/>
    <w:semiHidden/>
    <w:unhideWhenUsed/>
    <w:rsid w:val="008F6D74"/>
    <w:rPr>
      <w:sz w:val="16"/>
      <w:szCs w:val="16"/>
    </w:rPr>
  </w:style>
  <w:style w:type="paragraph" w:styleId="CommentText">
    <w:name w:val="annotation text"/>
    <w:basedOn w:val="Normal"/>
    <w:link w:val="CommentTextChar"/>
    <w:uiPriority w:val="99"/>
    <w:semiHidden/>
    <w:unhideWhenUsed/>
    <w:rsid w:val="008F6D74"/>
    <w:pPr>
      <w:spacing w:line="240" w:lineRule="auto"/>
    </w:pPr>
    <w:rPr>
      <w:sz w:val="20"/>
      <w:szCs w:val="20"/>
    </w:rPr>
  </w:style>
  <w:style w:type="character" w:customStyle="1" w:styleId="CommentTextChar">
    <w:name w:val="Comment Text Char"/>
    <w:basedOn w:val="DefaultParagraphFont"/>
    <w:link w:val="CommentText"/>
    <w:uiPriority w:val="99"/>
    <w:semiHidden/>
    <w:rsid w:val="008F6D74"/>
    <w:rPr>
      <w:sz w:val="20"/>
      <w:szCs w:val="20"/>
    </w:rPr>
  </w:style>
  <w:style w:type="paragraph" w:styleId="CommentSubject">
    <w:name w:val="annotation subject"/>
    <w:basedOn w:val="CommentText"/>
    <w:next w:val="CommentText"/>
    <w:link w:val="CommentSubjectChar"/>
    <w:uiPriority w:val="99"/>
    <w:semiHidden/>
    <w:unhideWhenUsed/>
    <w:rsid w:val="008F6D74"/>
    <w:rPr>
      <w:b/>
      <w:bCs/>
    </w:rPr>
  </w:style>
  <w:style w:type="character" w:customStyle="1" w:styleId="CommentSubjectChar">
    <w:name w:val="Comment Subject Char"/>
    <w:basedOn w:val="CommentTextChar"/>
    <w:link w:val="CommentSubject"/>
    <w:uiPriority w:val="99"/>
    <w:semiHidden/>
    <w:rsid w:val="008F6D74"/>
    <w:rPr>
      <w:b/>
      <w:bCs/>
      <w:sz w:val="20"/>
      <w:szCs w:val="20"/>
    </w:rPr>
  </w:style>
  <w:style w:type="character" w:styleId="FollowedHyperlink">
    <w:name w:val="FollowedHyperlink"/>
    <w:basedOn w:val="DefaultParagraphFont"/>
    <w:uiPriority w:val="99"/>
    <w:semiHidden/>
    <w:unhideWhenUsed/>
    <w:rsid w:val="00010888"/>
    <w:rPr>
      <w:color w:val="800080" w:themeColor="followedHyperlink"/>
      <w:u w:val="single"/>
    </w:rPr>
  </w:style>
  <w:style w:type="paragraph" w:styleId="Subtitle">
    <w:name w:val="Subtitle"/>
    <w:basedOn w:val="Normal"/>
    <w:next w:val="Normal"/>
    <w:link w:val="SubtitleChar"/>
    <w:uiPriority w:val="11"/>
    <w:qFormat/>
    <w:rsid w:val="003475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7545"/>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D9100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8E7A43"/>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DE0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A50"/>
    <w:rPr>
      <w:sz w:val="20"/>
      <w:szCs w:val="20"/>
    </w:rPr>
  </w:style>
  <w:style w:type="character" w:styleId="FootnoteReference">
    <w:name w:val="footnote reference"/>
    <w:basedOn w:val="DefaultParagraphFont"/>
    <w:uiPriority w:val="99"/>
    <w:semiHidden/>
    <w:unhideWhenUsed/>
    <w:rsid w:val="00DE0A50"/>
    <w:rPr>
      <w:vertAlign w:val="superscript"/>
    </w:rPr>
  </w:style>
  <w:style w:type="character" w:styleId="Strong">
    <w:name w:val="Strong"/>
    <w:basedOn w:val="DefaultParagraphFont"/>
    <w:uiPriority w:val="22"/>
    <w:qFormat/>
    <w:rsid w:val="00B55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004">
      <w:bodyDiv w:val="1"/>
      <w:marLeft w:val="0"/>
      <w:marRight w:val="0"/>
      <w:marTop w:val="0"/>
      <w:marBottom w:val="0"/>
      <w:divBdr>
        <w:top w:val="none" w:sz="0" w:space="0" w:color="auto"/>
        <w:left w:val="none" w:sz="0" w:space="0" w:color="auto"/>
        <w:bottom w:val="none" w:sz="0" w:space="0" w:color="auto"/>
        <w:right w:val="none" w:sz="0" w:space="0" w:color="auto"/>
      </w:divBdr>
    </w:div>
    <w:div w:id="27536391">
      <w:bodyDiv w:val="1"/>
      <w:marLeft w:val="0"/>
      <w:marRight w:val="0"/>
      <w:marTop w:val="0"/>
      <w:marBottom w:val="0"/>
      <w:divBdr>
        <w:top w:val="none" w:sz="0" w:space="0" w:color="auto"/>
        <w:left w:val="none" w:sz="0" w:space="0" w:color="auto"/>
        <w:bottom w:val="none" w:sz="0" w:space="0" w:color="auto"/>
        <w:right w:val="none" w:sz="0" w:space="0" w:color="auto"/>
      </w:divBdr>
    </w:div>
    <w:div w:id="93403553">
      <w:bodyDiv w:val="1"/>
      <w:marLeft w:val="0"/>
      <w:marRight w:val="0"/>
      <w:marTop w:val="0"/>
      <w:marBottom w:val="0"/>
      <w:divBdr>
        <w:top w:val="none" w:sz="0" w:space="0" w:color="auto"/>
        <w:left w:val="none" w:sz="0" w:space="0" w:color="auto"/>
        <w:bottom w:val="none" w:sz="0" w:space="0" w:color="auto"/>
        <w:right w:val="none" w:sz="0" w:space="0" w:color="auto"/>
      </w:divBdr>
    </w:div>
    <w:div w:id="115028073">
      <w:bodyDiv w:val="1"/>
      <w:marLeft w:val="0"/>
      <w:marRight w:val="0"/>
      <w:marTop w:val="0"/>
      <w:marBottom w:val="0"/>
      <w:divBdr>
        <w:top w:val="none" w:sz="0" w:space="0" w:color="auto"/>
        <w:left w:val="none" w:sz="0" w:space="0" w:color="auto"/>
        <w:bottom w:val="none" w:sz="0" w:space="0" w:color="auto"/>
        <w:right w:val="none" w:sz="0" w:space="0" w:color="auto"/>
      </w:divBdr>
    </w:div>
    <w:div w:id="151482472">
      <w:bodyDiv w:val="1"/>
      <w:marLeft w:val="0"/>
      <w:marRight w:val="0"/>
      <w:marTop w:val="0"/>
      <w:marBottom w:val="0"/>
      <w:divBdr>
        <w:top w:val="none" w:sz="0" w:space="0" w:color="auto"/>
        <w:left w:val="none" w:sz="0" w:space="0" w:color="auto"/>
        <w:bottom w:val="none" w:sz="0" w:space="0" w:color="auto"/>
        <w:right w:val="none" w:sz="0" w:space="0" w:color="auto"/>
      </w:divBdr>
    </w:div>
    <w:div w:id="204413863">
      <w:bodyDiv w:val="1"/>
      <w:marLeft w:val="0"/>
      <w:marRight w:val="0"/>
      <w:marTop w:val="0"/>
      <w:marBottom w:val="0"/>
      <w:divBdr>
        <w:top w:val="none" w:sz="0" w:space="0" w:color="auto"/>
        <w:left w:val="none" w:sz="0" w:space="0" w:color="auto"/>
        <w:bottom w:val="none" w:sz="0" w:space="0" w:color="auto"/>
        <w:right w:val="none" w:sz="0" w:space="0" w:color="auto"/>
      </w:divBdr>
    </w:div>
    <w:div w:id="283777343">
      <w:bodyDiv w:val="1"/>
      <w:marLeft w:val="0"/>
      <w:marRight w:val="0"/>
      <w:marTop w:val="0"/>
      <w:marBottom w:val="0"/>
      <w:divBdr>
        <w:top w:val="none" w:sz="0" w:space="0" w:color="auto"/>
        <w:left w:val="none" w:sz="0" w:space="0" w:color="auto"/>
        <w:bottom w:val="none" w:sz="0" w:space="0" w:color="auto"/>
        <w:right w:val="none" w:sz="0" w:space="0" w:color="auto"/>
      </w:divBdr>
    </w:div>
    <w:div w:id="336923375">
      <w:bodyDiv w:val="1"/>
      <w:marLeft w:val="0"/>
      <w:marRight w:val="0"/>
      <w:marTop w:val="0"/>
      <w:marBottom w:val="0"/>
      <w:divBdr>
        <w:top w:val="none" w:sz="0" w:space="0" w:color="auto"/>
        <w:left w:val="none" w:sz="0" w:space="0" w:color="auto"/>
        <w:bottom w:val="none" w:sz="0" w:space="0" w:color="auto"/>
        <w:right w:val="none" w:sz="0" w:space="0" w:color="auto"/>
      </w:divBdr>
    </w:div>
    <w:div w:id="349837356">
      <w:bodyDiv w:val="1"/>
      <w:marLeft w:val="0"/>
      <w:marRight w:val="0"/>
      <w:marTop w:val="0"/>
      <w:marBottom w:val="0"/>
      <w:divBdr>
        <w:top w:val="none" w:sz="0" w:space="0" w:color="auto"/>
        <w:left w:val="none" w:sz="0" w:space="0" w:color="auto"/>
        <w:bottom w:val="none" w:sz="0" w:space="0" w:color="auto"/>
        <w:right w:val="none" w:sz="0" w:space="0" w:color="auto"/>
      </w:divBdr>
    </w:div>
    <w:div w:id="763770111">
      <w:bodyDiv w:val="1"/>
      <w:marLeft w:val="0"/>
      <w:marRight w:val="0"/>
      <w:marTop w:val="0"/>
      <w:marBottom w:val="0"/>
      <w:divBdr>
        <w:top w:val="none" w:sz="0" w:space="0" w:color="auto"/>
        <w:left w:val="none" w:sz="0" w:space="0" w:color="auto"/>
        <w:bottom w:val="none" w:sz="0" w:space="0" w:color="auto"/>
        <w:right w:val="none" w:sz="0" w:space="0" w:color="auto"/>
      </w:divBdr>
      <w:divsChild>
        <w:div w:id="71704422">
          <w:marLeft w:val="0"/>
          <w:marRight w:val="0"/>
          <w:marTop w:val="0"/>
          <w:marBottom w:val="0"/>
          <w:divBdr>
            <w:top w:val="none" w:sz="0" w:space="0" w:color="auto"/>
            <w:left w:val="none" w:sz="0" w:space="0" w:color="auto"/>
            <w:bottom w:val="none" w:sz="0" w:space="0" w:color="auto"/>
            <w:right w:val="none" w:sz="0" w:space="0" w:color="auto"/>
          </w:divBdr>
        </w:div>
        <w:div w:id="593167587">
          <w:marLeft w:val="0"/>
          <w:marRight w:val="0"/>
          <w:marTop w:val="0"/>
          <w:marBottom w:val="0"/>
          <w:divBdr>
            <w:top w:val="none" w:sz="0" w:space="0" w:color="auto"/>
            <w:left w:val="none" w:sz="0" w:space="0" w:color="auto"/>
            <w:bottom w:val="none" w:sz="0" w:space="0" w:color="auto"/>
            <w:right w:val="none" w:sz="0" w:space="0" w:color="auto"/>
          </w:divBdr>
        </w:div>
        <w:div w:id="75516846">
          <w:marLeft w:val="0"/>
          <w:marRight w:val="0"/>
          <w:marTop w:val="0"/>
          <w:marBottom w:val="0"/>
          <w:divBdr>
            <w:top w:val="none" w:sz="0" w:space="0" w:color="auto"/>
            <w:left w:val="none" w:sz="0" w:space="0" w:color="auto"/>
            <w:bottom w:val="none" w:sz="0" w:space="0" w:color="auto"/>
            <w:right w:val="none" w:sz="0" w:space="0" w:color="auto"/>
          </w:divBdr>
        </w:div>
        <w:div w:id="1963804382">
          <w:marLeft w:val="0"/>
          <w:marRight w:val="0"/>
          <w:marTop w:val="0"/>
          <w:marBottom w:val="0"/>
          <w:divBdr>
            <w:top w:val="none" w:sz="0" w:space="0" w:color="auto"/>
            <w:left w:val="none" w:sz="0" w:space="0" w:color="auto"/>
            <w:bottom w:val="none" w:sz="0" w:space="0" w:color="auto"/>
            <w:right w:val="none" w:sz="0" w:space="0" w:color="auto"/>
          </w:divBdr>
        </w:div>
        <w:div w:id="1113399266">
          <w:marLeft w:val="0"/>
          <w:marRight w:val="0"/>
          <w:marTop w:val="0"/>
          <w:marBottom w:val="0"/>
          <w:divBdr>
            <w:top w:val="none" w:sz="0" w:space="0" w:color="auto"/>
            <w:left w:val="none" w:sz="0" w:space="0" w:color="auto"/>
            <w:bottom w:val="none" w:sz="0" w:space="0" w:color="auto"/>
            <w:right w:val="none" w:sz="0" w:space="0" w:color="auto"/>
          </w:divBdr>
        </w:div>
        <w:div w:id="1160001816">
          <w:marLeft w:val="0"/>
          <w:marRight w:val="0"/>
          <w:marTop w:val="0"/>
          <w:marBottom w:val="0"/>
          <w:divBdr>
            <w:top w:val="none" w:sz="0" w:space="0" w:color="auto"/>
            <w:left w:val="none" w:sz="0" w:space="0" w:color="auto"/>
            <w:bottom w:val="none" w:sz="0" w:space="0" w:color="auto"/>
            <w:right w:val="none" w:sz="0" w:space="0" w:color="auto"/>
          </w:divBdr>
        </w:div>
        <w:div w:id="1789619431">
          <w:marLeft w:val="0"/>
          <w:marRight w:val="0"/>
          <w:marTop w:val="0"/>
          <w:marBottom w:val="0"/>
          <w:divBdr>
            <w:top w:val="none" w:sz="0" w:space="0" w:color="auto"/>
            <w:left w:val="none" w:sz="0" w:space="0" w:color="auto"/>
            <w:bottom w:val="none" w:sz="0" w:space="0" w:color="auto"/>
            <w:right w:val="none" w:sz="0" w:space="0" w:color="auto"/>
          </w:divBdr>
        </w:div>
        <w:div w:id="2047099617">
          <w:marLeft w:val="0"/>
          <w:marRight w:val="0"/>
          <w:marTop w:val="0"/>
          <w:marBottom w:val="0"/>
          <w:divBdr>
            <w:top w:val="none" w:sz="0" w:space="0" w:color="auto"/>
            <w:left w:val="none" w:sz="0" w:space="0" w:color="auto"/>
            <w:bottom w:val="none" w:sz="0" w:space="0" w:color="auto"/>
            <w:right w:val="none" w:sz="0" w:space="0" w:color="auto"/>
          </w:divBdr>
        </w:div>
        <w:div w:id="1391806036">
          <w:marLeft w:val="0"/>
          <w:marRight w:val="0"/>
          <w:marTop w:val="0"/>
          <w:marBottom w:val="0"/>
          <w:divBdr>
            <w:top w:val="none" w:sz="0" w:space="0" w:color="auto"/>
            <w:left w:val="none" w:sz="0" w:space="0" w:color="auto"/>
            <w:bottom w:val="none" w:sz="0" w:space="0" w:color="auto"/>
            <w:right w:val="none" w:sz="0" w:space="0" w:color="auto"/>
          </w:divBdr>
        </w:div>
        <w:div w:id="281421710">
          <w:marLeft w:val="0"/>
          <w:marRight w:val="0"/>
          <w:marTop w:val="0"/>
          <w:marBottom w:val="0"/>
          <w:divBdr>
            <w:top w:val="none" w:sz="0" w:space="0" w:color="auto"/>
            <w:left w:val="none" w:sz="0" w:space="0" w:color="auto"/>
            <w:bottom w:val="none" w:sz="0" w:space="0" w:color="auto"/>
            <w:right w:val="none" w:sz="0" w:space="0" w:color="auto"/>
          </w:divBdr>
        </w:div>
        <w:div w:id="364866983">
          <w:marLeft w:val="0"/>
          <w:marRight w:val="0"/>
          <w:marTop w:val="0"/>
          <w:marBottom w:val="0"/>
          <w:divBdr>
            <w:top w:val="none" w:sz="0" w:space="0" w:color="auto"/>
            <w:left w:val="none" w:sz="0" w:space="0" w:color="auto"/>
            <w:bottom w:val="none" w:sz="0" w:space="0" w:color="auto"/>
            <w:right w:val="none" w:sz="0" w:space="0" w:color="auto"/>
          </w:divBdr>
        </w:div>
        <w:div w:id="1227762670">
          <w:marLeft w:val="0"/>
          <w:marRight w:val="0"/>
          <w:marTop w:val="0"/>
          <w:marBottom w:val="0"/>
          <w:divBdr>
            <w:top w:val="none" w:sz="0" w:space="0" w:color="auto"/>
            <w:left w:val="none" w:sz="0" w:space="0" w:color="auto"/>
            <w:bottom w:val="none" w:sz="0" w:space="0" w:color="auto"/>
            <w:right w:val="none" w:sz="0" w:space="0" w:color="auto"/>
          </w:divBdr>
        </w:div>
        <w:div w:id="1503667594">
          <w:marLeft w:val="0"/>
          <w:marRight w:val="0"/>
          <w:marTop w:val="0"/>
          <w:marBottom w:val="0"/>
          <w:divBdr>
            <w:top w:val="none" w:sz="0" w:space="0" w:color="auto"/>
            <w:left w:val="none" w:sz="0" w:space="0" w:color="auto"/>
            <w:bottom w:val="none" w:sz="0" w:space="0" w:color="auto"/>
            <w:right w:val="none" w:sz="0" w:space="0" w:color="auto"/>
          </w:divBdr>
        </w:div>
        <w:div w:id="922102729">
          <w:marLeft w:val="0"/>
          <w:marRight w:val="0"/>
          <w:marTop w:val="0"/>
          <w:marBottom w:val="0"/>
          <w:divBdr>
            <w:top w:val="none" w:sz="0" w:space="0" w:color="auto"/>
            <w:left w:val="none" w:sz="0" w:space="0" w:color="auto"/>
            <w:bottom w:val="none" w:sz="0" w:space="0" w:color="auto"/>
            <w:right w:val="none" w:sz="0" w:space="0" w:color="auto"/>
          </w:divBdr>
        </w:div>
        <w:div w:id="1476753385">
          <w:marLeft w:val="0"/>
          <w:marRight w:val="0"/>
          <w:marTop w:val="0"/>
          <w:marBottom w:val="0"/>
          <w:divBdr>
            <w:top w:val="none" w:sz="0" w:space="0" w:color="auto"/>
            <w:left w:val="none" w:sz="0" w:space="0" w:color="auto"/>
            <w:bottom w:val="none" w:sz="0" w:space="0" w:color="auto"/>
            <w:right w:val="none" w:sz="0" w:space="0" w:color="auto"/>
          </w:divBdr>
        </w:div>
        <w:div w:id="1319646697">
          <w:marLeft w:val="0"/>
          <w:marRight w:val="0"/>
          <w:marTop w:val="0"/>
          <w:marBottom w:val="0"/>
          <w:divBdr>
            <w:top w:val="none" w:sz="0" w:space="0" w:color="auto"/>
            <w:left w:val="none" w:sz="0" w:space="0" w:color="auto"/>
            <w:bottom w:val="none" w:sz="0" w:space="0" w:color="auto"/>
            <w:right w:val="none" w:sz="0" w:space="0" w:color="auto"/>
          </w:divBdr>
        </w:div>
        <w:div w:id="998532835">
          <w:marLeft w:val="0"/>
          <w:marRight w:val="0"/>
          <w:marTop w:val="0"/>
          <w:marBottom w:val="0"/>
          <w:divBdr>
            <w:top w:val="none" w:sz="0" w:space="0" w:color="auto"/>
            <w:left w:val="none" w:sz="0" w:space="0" w:color="auto"/>
            <w:bottom w:val="none" w:sz="0" w:space="0" w:color="auto"/>
            <w:right w:val="none" w:sz="0" w:space="0" w:color="auto"/>
          </w:divBdr>
        </w:div>
        <w:div w:id="825976522">
          <w:marLeft w:val="0"/>
          <w:marRight w:val="0"/>
          <w:marTop w:val="0"/>
          <w:marBottom w:val="0"/>
          <w:divBdr>
            <w:top w:val="none" w:sz="0" w:space="0" w:color="auto"/>
            <w:left w:val="none" w:sz="0" w:space="0" w:color="auto"/>
            <w:bottom w:val="none" w:sz="0" w:space="0" w:color="auto"/>
            <w:right w:val="none" w:sz="0" w:space="0" w:color="auto"/>
          </w:divBdr>
        </w:div>
        <w:div w:id="218788162">
          <w:marLeft w:val="0"/>
          <w:marRight w:val="0"/>
          <w:marTop w:val="0"/>
          <w:marBottom w:val="0"/>
          <w:divBdr>
            <w:top w:val="none" w:sz="0" w:space="0" w:color="auto"/>
            <w:left w:val="none" w:sz="0" w:space="0" w:color="auto"/>
            <w:bottom w:val="none" w:sz="0" w:space="0" w:color="auto"/>
            <w:right w:val="none" w:sz="0" w:space="0" w:color="auto"/>
          </w:divBdr>
        </w:div>
        <w:div w:id="352346224">
          <w:marLeft w:val="0"/>
          <w:marRight w:val="0"/>
          <w:marTop w:val="0"/>
          <w:marBottom w:val="0"/>
          <w:divBdr>
            <w:top w:val="none" w:sz="0" w:space="0" w:color="auto"/>
            <w:left w:val="none" w:sz="0" w:space="0" w:color="auto"/>
            <w:bottom w:val="none" w:sz="0" w:space="0" w:color="auto"/>
            <w:right w:val="none" w:sz="0" w:space="0" w:color="auto"/>
          </w:divBdr>
        </w:div>
        <w:div w:id="1290555486">
          <w:marLeft w:val="0"/>
          <w:marRight w:val="0"/>
          <w:marTop w:val="0"/>
          <w:marBottom w:val="0"/>
          <w:divBdr>
            <w:top w:val="none" w:sz="0" w:space="0" w:color="auto"/>
            <w:left w:val="none" w:sz="0" w:space="0" w:color="auto"/>
            <w:bottom w:val="none" w:sz="0" w:space="0" w:color="auto"/>
            <w:right w:val="none" w:sz="0" w:space="0" w:color="auto"/>
          </w:divBdr>
        </w:div>
        <w:div w:id="927931092">
          <w:marLeft w:val="0"/>
          <w:marRight w:val="0"/>
          <w:marTop w:val="0"/>
          <w:marBottom w:val="0"/>
          <w:divBdr>
            <w:top w:val="none" w:sz="0" w:space="0" w:color="auto"/>
            <w:left w:val="none" w:sz="0" w:space="0" w:color="auto"/>
            <w:bottom w:val="none" w:sz="0" w:space="0" w:color="auto"/>
            <w:right w:val="none" w:sz="0" w:space="0" w:color="auto"/>
          </w:divBdr>
        </w:div>
        <w:div w:id="1463616021">
          <w:marLeft w:val="0"/>
          <w:marRight w:val="0"/>
          <w:marTop w:val="0"/>
          <w:marBottom w:val="0"/>
          <w:divBdr>
            <w:top w:val="none" w:sz="0" w:space="0" w:color="auto"/>
            <w:left w:val="none" w:sz="0" w:space="0" w:color="auto"/>
            <w:bottom w:val="none" w:sz="0" w:space="0" w:color="auto"/>
            <w:right w:val="none" w:sz="0" w:space="0" w:color="auto"/>
          </w:divBdr>
        </w:div>
        <w:div w:id="1882010532">
          <w:marLeft w:val="0"/>
          <w:marRight w:val="0"/>
          <w:marTop w:val="0"/>
          <w:marBottom w:val="0"/>
          <w:divBdr>
            <w:top w:val="none" w:sz="0" w:space="0" w:color="auto"/>
            <w:left w:val="none" w:sz="0" w:space="0" w:color="auto"/>
            <w:bottom w:val="none" w:sz="0" w:space="0" w:color="auto"/>
            <w:right w:val="none" w:sz="0" w:space="0" w:color="auto"/>
          </w:divBdr>
        </w:div>
      </w:divsChild>
    </w:div>
    <w:div w:id="831340034">
      <w:bodyDiv w:val="1"/>
      <w:marLeft w:val="0"/>
      <w:marRight w:val="0"/>
      <w:marTop w:val="0"/>
      <w:marBottom w:val="0"/>
      <w:divBdr>
        <w:top w:val="none" w:sz="0" w:space="0" w:color="auto"/>
        <w:left w:val="none" w:sz="0" w:space="0" w:color="auto"/>
        <w:bottom w:val="none" w:sz="0" w:space="0" w:color="auto"/>
        <w:right w:val="none" w:sz="0" w:space="0" w:color="auto"/>
      </w:divBdr>
    </w:div>
    <w:div w:id="1116363303">
      <w:bodyDiv w:val="1"/>
      <w:marLeft w:val="0"/>
      <w:marRight w:val="0"/>
      <w:marTop w:val="0"/>
      <w:marBottom w:val="0"/>
      <w:divBdr>
        <w:top w:val="none" w:sz="0" w:space="0" w:color="auto"/>
        <w:left w:val="none" w:sz="0" w:space="0" w:color="auto"/>
        <w:bottom w:val="none" w:sz="0" w:space="0" w:color="auto"/>
        <w:right w:val="none" w:sz="0" w:space="0" w:color="auto"/>
      </w:divBdr>
    </w:div>
    <w:div w:id="1133786537">
      <w:bodyDiv w:val="1"/>
      <w:marLeft w:val="0"/>
      <w:marRight w:val="0"/>
      <w:marTop w:val="0"/>
      <w:marBottom w:val="0"/>
      <w:divBdr>
        <w:top w:val="none" w:sz="0" w:space="0" w:color="auto"/>
        <w:left w:val="none" w:sz="0" w:space="0" w:color="auto"/>
        <w:bottom w:val="none" w:sz="0" w:space="0" w:color="auto"/>
        <w:right w:val="none" w:sz="0" w:space="0" w:color="auto"/>
      </w:divBdr>
    </w:div>
    <w:div w:id="1295214046">
      <w:bodyDiv w:val="1"/>
      <w:marLeft w:val="0"/>
      <w:marRight w:val="0"/>
      <w:marTop w:val="0"/>
      <w:marBottom w:val="0"/>
      <w:divBdr>
        <w:top w:val="none" w:sz="0" w:space="0" w:color="auto"/>
        <w:left w:val="none" w:sz="0" w:space="0" w:color="auto"/>
        <w:bottom w:val="none" w:sz="0" w:space="0" w:color="auto"/>
        <w:right w:val="none" w:sz="0" w:space="0" w:color="auto"/>
      </w:divBdr>
    </w:div>
    <w:div w:id="1495999028">
      <w:bodyDiv w:val="1"/>
      <w:marLeft w:val="0"/>
      <w:marRight w:val="0"/>
      <w:marTop w:val="0"/>
      <w:marBottom w:val="0"/>
      <w:divBdr>
        <w:top w:val="none" w:sz="0" w:space="0" w:color="auto"/>
        <w:left w:val="none" w:sz="0" w:space="0" w:color="auto"/>
        <w:bottom w:val="none" w:sz="0" w:space="0" w:color="auto"/>
        <w:right w:val="none" w:sz="0" w:space="0" w:color="auto"/>
      </w:divBdr>
    </w:div>
    <w:div w:id="1801915968">
      <w:bodyDiv w:val="1"/>
      <w:marLeft w:val="0"/>
      <w:marRight w:val="0"/>
      <w:marTop w:val="0"/>
      <w:marBottom w:val="0"/>
      <w:divBdr>
        <w:top w:val="none" w:sz="0" w:space="0" w:color="auto"/>
        <w:left w:val="none" w:sz="0" w:space="0" w:color="auto"/>
        <w:bottom w:val="none" w:sz="0" w:space="0" w:color="auto"/>
        <w:right w:val="none" w:sz="0" w:space="0" w:color="auto"/>
      </w:divBdr>
    </w:div>
    <w:div w:id="1926302453">
      <w:bodyDiv w:val="1"/>
      <w:marLeft w:val="0"/>
      <w:marRight w:val="0"/>
      <w:marTop w:val="0"/>
      <w:marBottom w:val="0"/>
      <w:divBdr>
        <w:top w:val="none" w:sz="0" w:space="0" w:color="auto"/>
        <w:left w:val="none" w:sz="0" w:space="0" w:color="auto"/>
        <w:bottom w:val="none" w:sz="0" w:space="0" w:color="auto"/>
        <w:right w:val="none" w:sz="0" w:space="0" w:color="auto"/>
      </w:divBdr>
    </w:div>
    <w:div w:id="1978950543">
      <w:bodyDiv w:val="1"/>
      <w:marLeft w:val="0"/>
      <w:marRight w:val="0"/>
      <w:marTop w:val="0"/>
      <w:marBottom w:val="0"/>
      <w:divBdr>
        <w:top w:val="none" w:sz="0" w:space="0" w:color="auto"/>
        <w:left w:val="none" w:sz="0" w:space="0" w:color="auto"/>
        <w:bottom w:val="none" w:sz="0" w:space="0" w:color="auto"/>
        <w:right w:val="none" w:sz="0" w:space="0" w:color="auto"/>
      </w:divBdr>
    </w:div>
    <w:div w:id="20261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faculty/councils/fcas/" TargetMode="External"/><Relationship Id="rId13" Type="http://schemas.openxmlformats.org/officeDocument/2006/relationships/hyperlink" Target="http://opb.washington.edu/sites/default/files/opb/Budget/FCR%20report%20to%20ABB%20Committee%2012-15-2015.pdf" TargetMode="External"/><Relationship Id="rId18" Type="http://schemas.openxmlformats.org/officeDocument/2006/relationships/hyperlink" Target="http://opb.washington.edu/sites/default/files/opb/Budget/GSC_ABB_Charg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pb.washington.edu/sites/default/files/opb/Budget/FCR_ABB_Charge.pdf" TargetMode="External"/><Relationship Id="rId17" Type="http://schemas.openxmlformats.org/officeDocument/2006/relationships/hyperlink" Target="http://www.grad.washington.edu/fac-staff/gscouncil/" TargetMode="External"/><Relationship Id="rId2" Type="http://schemas.openxmlformats.org/officeDocument/2006/relationships/numbering" Target="numbering.xml"/><Relationship Id="rId16" Type="http://schemas.openxmlformats.org/officeDocument/2006/relationships/hyperlink" Target="http://opb.washington.edu/sites/default/files/opb/Budget/Narratives/FCTL%20repo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edu/faculty/councils/fcr" TargetMode="External"/><Relationship Id="rId5" Type="http://schemas.openxmlformats.org/officeDocument/2006/relationships/webSettings" Target="webSettings.xml"/><Relationship Id="rId15" Type="http://schemas.openxmlformats.org/officeDocument/2006/relationships/hyperlink" Target="http://opb.washington.edu/sites/default/files/opb/Budget/FCTL_ABB_Charge.pdf" TargetMode="External"/><Relationship Id="rId23" Type="http://schemas.openxmlformats.org/officeDocument/2006/relationships/theme" Target="theme/theme1.xml"/><Relationship Id="rId10" Type="http://schemas.openxmlformats.org/officeDocument/2006/relationships/hyperlink" Target="http://opb.washington.edu/sites/default/files/opb/Budget/Narratives/FCAS%20Report%20to%20ABB%20Committee.pdf" TargetMode="External"/><Relationship Id="rId19" Type="http://schemas.openxmlformats.org/officeDocument/2006/relationships/hyperlink" Target="http://opb.washington.edu/sites/default/files/opb/ABB%20Report%20on%20Graduate%20Tuition%20Waivers.pdf" TargetMode="External"/><Relationship Id="rId4" Type="http://schemas.openxmlformats.org/officeDocument/2006/relationships/settings" Target="settings.xml"/><Relationship Id="rId9" Type="http://schemas.openxmlformats.org/officeDocument/2006/relationships/hyperlink" Target="http://opb.washington.edu/sites/default/files/opb/Budget/FCAS_ABB_Charge.pdf" TargetMode="External"/><Relationship Id="rId14" Type="http://schemas.openxmlformats.org/officeDocument/2006/relationships/hyperlink" Target="http://www.washington.edu/faculty/councils/fct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opb.washington.edu/sites/default/files/opb/Budget/Narratives/ABB%20Phase%20II%20Committee%20-%20Feb%20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253A-491A-4470-ACFF-9A801AD9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10019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Jed Bradley</dc:creator>
  <cp:lastModifiedBy>Suganya Sundaram</cp:lastModifiedBy>
  <cp:revision>2</cp:revision>
  <cp:lastPrinted>2016-02-25T21:50:00Z</cp:lastPrinted>
  <dcterms:created xsi:type="dcterms:W3CDTF">2016-04-07T18:24:00Z</dcterms:created>
  <dcterms:modified xsi:type="dcterms:W3CDTF">2016-04-07T18:24:00Z</dcterms:modified>
</cp:coreProperties>
</file>