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7DB7" w14:textId="77777777" w:rsidR="00AF04EF" w:rsidRPr="000973D6" w:rsidRDefault="00E37811" w:rsidP="00EB0E05">
      <w:pPr>
        <w:rPr>
          <w:b/>
          <w:i/>
          <w:sz w:val="28"/>
        </w:rPr>
      </w:pPr>
      <w:r>
        <w:rPr>
          <w:b/>
          <w:i/>
          <w:sz w:val="28"/>
        </w:rPr>
        <w:t xml:space="preserve">Administrative </w:t>
      </w:r>
      <w:r w:rsidR="000973D6" w:rsidRPr="000973D6">
        <w:rPr>
          <w:b/>
          <w:i/>
          <w:sz w:val="28"/>
        </w:rPr>
        <w:t xml:space="preserve">Unit Name: </w:t>
      </w:r>
      <w:r w:rsidR="00AF04EF" w:rsidRPr="000973D6">
        <w:rPr>
          <w:b/>
          <w:i/>
          <w:sz w:val="28"/>
        </w:rPr>
        <w:tab/>
      </w:r>
      <w:r w:rsidR="00DD718C">
        <w:rPr>
          <w:b/>
          <w:i/>
          <w:sz w:val="28"/>
        </w:rPr>
        <w:t>_________________________</w:t>
      </w:r>
    </w:p>
    <w:p w14:paraId="02958116" w14:textId="2C224084" w:rsidR="00C96B20" w:rsidRDefault="00C96B20" w:rsidP="00C96B20">
      <w:pPr>
        <w:pStyle w:val="ListParagraph"/>
        <w:tabs>
          <w:tab w:val="left" w:pos="0"/>
          <w:tab w:val="left" w:pos="810"/>
        </w:tabs>
        <w:ind w:left="0"/>
        <w:contextualSpacing w:val="0"/>
        <w:jc w:val="center"/>
      </w:pPr>
      <w:r>
        <w:rPr>
          <w:i/>
        </w:rPr>
        <w:t>P</w:t>
      </w:r>
      <w:r w:rsidRPr="00807795">
        <w:rPr>
          <w:i/>
        </w:rPr>
        <w:t xml:space="preserve">lease </w:t>
      </w:r>
      <w:r>
        <w:rPr>
          <w:i/>
        </w:rPr>
        <w:t>complete</w:t>
      </w:r>
      <w:r w:rsidRPr="00807795">
        <w:rPr>
          <w:i/>
        </w:rPr>
        <w:t xml:space="preserve"> this Word document and the accompanying </w:t>
      </w:r>
      <w:hyperlink r:id="rId8" w:history="1">
        <w:r w:rsidRPr="00864EDB">
          <w:rPr>
            <w:rStyle w:val="Hyperlink"/>
            <w:i/>
          </w:rPr>
          <w:t xml:space="preserve">Excel </w:t>
        </w:r>
        <w:r w:rsidR="00EA2A66" w:rsidRPr="00864EDB">
          <w:rPr>
            <w:rStyle w:val="Hyperlink"/>
            <w:i/>
          </w:rPr>
          <w:t>workbook</w:t>
        </w:r>
      </w:hyperlink>
      <w:r w:rsidR="00864EDB">
        <w:rPr>
          <w:i/>
        </w:rPr>
        <w:t xml:space="preserve">, </w:t>
      </w:r>
      <w:r>
        <w:rPr>
          <w:i/>
        </w:rPr>
        <w:t xml:space="preserve">and submit them </w:t>
      </w:r>
      <w:r w:rsidRPr="00807795">
        <w:rPr>
          <w:i/>
        </w:rPr>
        <w:t xml:space="preserve">to the Office of Planning &amp; Budgeting on or before </w:t>
      </w:r>
      <w:r w:rsidRPr="00807795">
        <w:rPr>
          <w:b/>
          <w:i/>
        </w:rPr>
        <w:t>Friday, November 20</w:t>
      </w:r>
      <w:r w:rsidRPr="00807795">
        <w:rPr>
          <w:i/>
        </w:rPr>
        <w:t xml:space="preserve">.  Please email your materials </w:t>
      </w:r>
      <w:r w:rsidR="007F7AC0" w:rsidRPr="0087692E">
        <w:rPr>
          <w:i/>
        </w:rPr>
        <w:t xml:space="preserve">to </w:t>
      </w:r>
      <w:hyperlink r:id="rId9" w:history="1">
        <w:proofErr w:type="spellStart"/>
        <w:r w:rsidR="007F7AC0" w:rsidRPr="0087692E">
          <w:rPr>
            <w:rStyle w:val="Hyperlink"/>
            <w:i/>
          </w:rPr>
          <w:t>Becka</w:t>
        </w:r>
        <w:proofErr w:type="spellEnd"/>
        <w:r w:rsidR="007F7AC0" w:rsidRPr="0087692E">
          <w:rPr>
            <w:rStyle w:val="Hyperlink"/>
            <w:i/>
          </w:rPr>
          <w:t xml:space="preserve"> Johnson </w:t>
        </w:r>
        <w:proofErr w:type="spellStart"/>
        <w:r w:rsidR="007F7AC0" w:rsidRPr="0087692E">
          <w:rPr>
            <w:rStyle w:val="Hyperlink"/>
            <w:i/>
          </w:rPr>
          <w:t>Poppe</w:t>
        </w:r>
        <w:proofErr w:type="spellEnd"/>
      </w:hyperlink>
      <w:r w:rsidR="007F7AC0" w:rsidRPr="0087692E">
        <w:rPr>
          <w:i/>
        </w:rPr>
        <w:t>.</w:t>
      </w:r>
    </w:p>
    <w:p w14:paraId="64DB7986" w14:textId="023D5D7B" w:rsidR="007D7BBB" w:rsidRDefault="00854F1C" w:rsidP="007D7BBB">
      <w:pPr>
        <w:pStyle w:val="ListParagraph"/>
        <w:numPr>
          <w:ilvl w:val="0"/>
          <w:numId w:val="5"/>
        </w:numPr>
        <w:tabs>
          <w:tab w:val="left" w:pos="360"/>
          <w:tab w:val="left" w:pos="810"/>
        </w:tabs>
        <w:ind w:left="360"/>
        <w:contextualSpacing w:val="0"/>
      </w:pPr>
      <w:r w:rsidRPr="00EF304E">
        <w:t>In spring 2015</w:t>
      </w:r>
      <w:r w:rsidR="00FF1E3D" w:rsidRPr="00EF304E">
        <w:t xml:space="preserve">, Provost </w:t>
      </w:r>
      <w:proofErr w:type="spellStart"/>
      <w:r w:rsidR="00FF1E3D" w:rsidRPr="00EF304E">
        <w:t>Baldasty</w:t>
      </w:r>
      <w:proofErr w:type="spellEnd"/>
      <w:r w:rsidR="00FF1E3D" w:rsidRPr="00EF304E">
        <w:t xml:space="preserve"> initiated</w:t>
      </w:r>
      <w:r w:rsidR="00FF1E3D">
        <w:t xml:space="preserve"> t</w:t>
      </w:r>
      <w:r w:rsidR="007D7BBB">
        <w:t>he Transforming Administration Program (TAP)</w:t>
      </w:r>
      <w:r w:rsidR="00FF1E3D">
        <w:t>, which</w:t>
      </w:r>
      <w:r w:rsidR="007D7BBB">
        <w:t xml:space="preserve"> encompasses al</w:t>
      </w:r>
      <w:r w:rsidR="00FF1E3D">
        <w:t xml:space="preserve">l central administrative units </w:t>
      </w:r>
      <w:r w:rsidR="007D7BBB">
        <w:t>and focus</w:t>
      </w:r>
      <w:r w:rsidR="00FF1E3D">
        <w:t>es</w:t>
      </w:r>
      <w:r w:rsidR="007D7BBB">
        <w:t xml:space="preserve"> on </w:t>
      </w:r>
      <w:r w:rsidR="00860E15">
        <w:t>fulfilling the need for greater collaboration, clear priorities, increased accountabilities, and elimination of unnecessary bureaucracy and redundancies</w:t>
      </w:r>
      <w:r w:rsidR="007D7BBB">
        <w:t xml:space="preserve">.  </w:t>
      </w:r>
    </w:p>
    <w:p w14:paraId="569D4A50" w14:textId="3EB31E9A" w:rsidR="00860E15" w:rsidRPr="00860E15" w:rsidRDefault="00FB2EA0" w:rsidP="00242597">
      <w:pPr>
        <w:pStyle w:val="ListParagraph"/>
        <w:tabs>
          <w:tab w:val="left" w:pos="360"/>
          <w:tab w:val="left" w:pos="810"/>
        </w:tabs>
        <w:ind w:left="360"/>
        <w:contextualSpacing w:val="0"/>
        <w:rPr>
          <w:b/>
        </w:rPr>
      </w:pPr>
      <w:r>
        <w:t>Within a</w:t>
      </w:r>
      <w:r w:rsidR="00FF1E3D">
        <w:t xml:space="preserve"> </w:t>
      </w:r>
      <w:r w:rsidR="00DD74E2">
        <w:rPr>
          <w:b/>
        </w:rPr>
        <w:t xml:space="preserve">500 </w:t>
      </w:r>
      <w:r>
        <w:rPr>
          <w:b/>
        </w:rPr>
        <w:t xml:space="preserve">word </w:t>
      </w:r>
      <w:r w:rsidRPr="00FB2EA0">
        <w:rPr>
          <w:b/>
        </w:rPr>
        <w:t>bulleted</w:t>
      </w:r>
      <w:r>
        <w:t xml:space="preserve"> </w:t>
      </w:r>
      <w:r w:rsidRPr="00FB2EA0">
        <w:rPr>
          <w:b/>
        </w:rPr>
        <w:t>list</w:t>
      </w:r>
      <w:r w:rsidR="00FF1E3D" w:rsidRPr="00860E15">
        <w:t xml:space="preserve">, please </w:t>
      </w:r>
      <w:r w:rsidR="00342BD6">
        <w:t>answer both of the following questions</w:t>
      </w:r>
      <w:r w:rsidR="00860E15" w:rsidRPr="00860E15">
        <w:rPr>
          <w:b/>
        </w:rPr>
        <w:t>:</w:t>
      </w:r>
    </w:p>
    <w:p w14:paraId="089D0FDF" w14:textId="3F6264C6" w:rsidR="00860E15" w:rsidRPr="00860E15" w:rsidRDefault="00FB2EA0" w:rsidP="00AC4CF0">
      <w:pPr>
        <w:pStyle w:val="ListParagraph"/>
        <w:numPr>
          <w:ilvl w:val="0"/>
          <w:numId w:val="15"/>
        </w:numPr>
        <w:tabs>
          <w:tab w:val="left" w:pos="360"/>
          <w:tab w:val="left" w:pos="810"/>
        </w:tabs>
        <w:ind w:left="720"/>
        <w:contextualSpacing w:val="0"/>
        <w:rPr>
          <w:u w:val="single"/>
        </w:rPr>
      </w:pPr>
      <w:r>
        <w:rPr>
          <w:b/>
        </w:rPr>
        <w:t>List 3-5 things your</w:t>
      </w:r>
      <w:r w:rsidR="005E1E63">
        <w:rPr>
          <w:b/>
        </w:rPr>
        <w:t xml:space="preserve"> unit </w:t>
      </w:r>
      <w:r>
        <w:rPr>
          <w:b/>
        </w:rPr>
        <w:t xml:space="preserve">is </w:t>
      </w:r>
      <w:r w:rsidR="005E1E63">
        <w:rPr>
          <w:b/>
        </w:rPr>
        <w:t xml:space="preserve">doing </w:t>
      </w:r>
      <w:r w:rsidR="00FF1E3D" w:rsidRPr="00860E15">
        <w:rPr>
          <w:b/>
        </w:rPr>
        <w:t xml:space="preserve">to align with </w:t>
      </w:r>
      <w:r w:rsidR="00854F1C" w:rsidRPr="00860E15">
        <w:rPr>
          <w:b/>
        </w:rPr>
        <w:t xml:space="preserve">the </w:t>
      </w:r>
      <w:hyperlink r:id="rId10" w:history="1">
        <w:r w:rsidR="00FF1E3D" w:rsidRPr="005E1E63">
          <w:rPr>
            <w:rStyle w:val="Hyperlink"/>
            <w:b/>
          </w:rPr>
          <w:t>TAP principles</w:t>
        </w:r>
        <w:r w:rsidR="00854F1C" w:rsidRPr="005E1E63">
          <w:rPr>
            <w:rStyle w:val="Hyperlink"/>
            <w:b/>
          </w:rPr>
          <w:t xml:space="preserve"> for central administrative units</w:t>
        </w:r>
      </w:hyperlink>
      <w:r>
        <w:rPr>
          <w:b/>
        </w:rPr>
        <w:t xml:space="preserve"> and </w:t>
      </w:r>
      <w:r w:rsidR="00DD74E2">
        <w:rPr>
          <w:b/>
        </w:rPr>
        <w:t xml:space="preserve">to </w:t>
      </w:r>
      <w:r>
        <w:rPr>
          <w:b/>
        </w:rPr>
        <w:t>create and</w:t>
      </w:r>
      <w:r w:rsidR="00DD74E2">
        <w:rPr>
          <w:b/>
        </w:rPr>
        <w:t xml:space="preserve"> enhance a culture of service. Please b</w:t>
      </w:r>
      <w:r>
        <w:rPr>
          <w:b/>
        </w:rPr>
        <w:t>e specific.</w:t>
      </w:r>
    </w:p>
    <w:p w14:paraId="042EA16C" w14:textId="04F2EEF4" w:rsidR="003131F4" w:rsidRDefault="00342BD6" w:rsidP="005E1E63">
      <w:pPr>
        <w:pStyle w:val="ListParagraph"/>
        <w:numPr>
          <w:ilvl w:val="0"/>
          <w:numId w:val="15"/>
        </w:numPr>
        <w:tabs>
          <w:tab w:val="left" w:pos="360"/>
          <w:tab w:val="left" w:pos="810"/>
        </w:tabs>
        <w:spacing w:after="0"/>
        <w:ind w:left="720"/>
        <w:contextualSpacing w:val="0"/>
        <w:rPr>
          <w:b/>
        </w:rPr>
      </w:pPr>
      <w:r w:rsidRPr="0081470D">
        <w:t>I</w:t>
      </w:r>
      <w:r w:rsidR="0083077C" w:rsidRPr="0081470D">
        <w:t xml:space="preserve">n what ways (if any) could your unit </w:t>
      </w:r>
      <w:r w:rsidR="0083077C" w:rsidRPr="0081470D">
        <w:rPr>
          <w:b/>
        </w:rPr>
        <w:t xml:space="preserve">leverage activities of other central administrative units to increase efficiency </w:t>
      </w:r>
      <w:r w:rsidR="001A70DF" w:rsidRPr="0081470D">
        <w:rPr>
          <w:b/>
        </w:rPr>
        <w:t>with</w:t>
      </w:r>
      <w:r w:rsidR="0083077C" w:rsidRPr="0081470D">
        <w:rPr>
          <w:b/>
        </w:rPr>
        <w:t>in your unit</w:t>
      </w:r>
      <w:r w:rsidR="001A70DF" w:rsidRPr="0081470D">
        <w:rPr>
          <w:b/>
        </w:rPr>
        <w:t xml:space="preserve"> and/or to streamline activities across the UW</w:t>
      </w:r>
      <w:r w:rsidR="0083077C" w:rsidRPr="0081470D">
        <w:rPr>
          <w:b/>
        </w:rPr>
        <w:t>?</w:t>
      </w:r>
      <w:r w:rsidR="0081470D" w:rsidRPr="0081470D">
        <w:rPr>
          <w:b/>
        </w:rPr>
        <w:t xml:space="preserve"> </w:t>
      </w:r>
      <w:r w:rsidR="0081470D" w:rsidRPr="0081470D">
        <w:t xml:space="preserve">Are there areas of overlap between your unit and another that </w:t>
      </w:r>
      <w:r w:rsidR="0081470D" w:rsidRPr="0081470D">
        <w:rPr>
          <w:b/>
        </w:rPr>
        <w:t>prompt closer collaboration</w:t>
      </w:r>
      <w:r w:rsidR="0081470D">
        <w:rPr>
          <w:b/>
        </w:rPr>
        <w:t>?</w:t>
      </w:r>
    </w:p>
    <w:p w14:paraId="7DDA4F3E" w14:textId="77777777" w:rsidR="005E1E63" w:rsidRPr="005E1E63" w:rsidRDefault="005E1E63" w:rsidP="005E1E63">
      <w:pPr>
        <w:pBdr>
          <w:bottom w:val="single" w:sz="4" w:space="1" w:color="auto"/>
        </w:pBdr>
        <w:tabs>
          <w:tab w:val="left" w:pos="360"/>
          <w:tab w:val="left" w:pos="810"/>
        </w:tabs>
        <w:rPr>
          <w:b/>
          <w:sz w:val="2"/>
        </w:rPr>
      </w:pPr>
    </w:p>
    <w:p w14:paraId="1406AD07" w14:textId="0C0D1D32" w:rsidR="003131F4" w:rsidRDefault="003131F4" w:rsidP="003131F4">
      <w:pPr>
        <w:rPr>
          <w:i/>
        </w:rPr>
      </w:pPr>
      <w:r>
        <w:rPr>
          <w:i/>
        </w:rPr>
        <w:br w:type="page"/>
      </w:r>
    </w:p>
    <w:p w14:paraId="5F289DD0" w14:textId="188D8DDB" w:rsidR="00570F0E" w:rsidRDefault="00511A00" w:rsidP="00511A00">
      <w:pPr>
        <w:pStyle w:val="ListParagraph"/>
        <w:numPr>
          <w:ilvl w:val="0"/>
          <w:numId w:val="5"/>
        </w:numPr>
        <w:pBdr>
          <w:bottom w:val="single" w:sz="6" w:space="1" w:color="auto"/>
        </w:pBdr>
        <w:tabs>
          <w:tab w:val="left" w:pos="360"/>
          <w:tab w:val="left" w:pos="810"/>
        </w:tabs>
        <w:ind w:left="360"/>
        <w:contextualSpacing w:val="0"/>
      </w:pPr>
      <w:r>
        <w:lastRenderedPageBreak/>
        <w:t>In 200 words</w:t>
      </w:r>
      <w:r w:rsidR="00342BD6">
        <w:t xml:space="preserve"> or fewer</w:t>
      </w:r>
      <w:r>
        <w:t>,</w:t>
      </w:r>
      <w:r w:rsidRPr="00C72D47">
        <w:t xml:space="preserve"> </w:t>
      </w:r>
      <w:r w:rsidR="00FB2EA0">
        <w:t xml:space="preserve">please </w:t>
      </w:r>
      <w:r w:rsidR="00FB2EA0" w:rsidRPr="00FB2EA0">
        <w:rPr>
          <w:b/>
        </w:rPr>
        <w:t xml:space="preserve">identify </w:t>
      </w:r>
      <w:r w:rsidR="0017345B">
        <w:rPr>
          <w:b/>
        </w:rPr>
        <w:t>plans to adapt functions and services to support changing institutional needs in FY17.</w:t>
      </w:r>
      <w:r w:rsidR="00FB2EA0">
        <w:t xml:space="preserve"> </w:t>
      </w:r>
    </w:p>
    <w:p w14:paraId="343B1E36" w14:textId="77777777" w:rsidR="00EB0E05" w:rsidRDefault="00EB0E05" w:rsidP="00EB0E05">
      <w:pPr>
        <w:spacing w:after="160"/>
      </w:pPr>
    </w:p>
    <w:p w14:paraId="5B02DBCD" w14:textId="77777777" w:rsidR="00EB0E05" w:rsidRDefault="00EB0E05" w:rsidP="00EB0E05">
      <w:pPr>
        <w:spacing w:after="160"/>
      </w:pPr>
    </w:p>
    <w:p w14:paraId="17B72DAD" w14:textId="77777777" w:rsidR="00511A00" w:rsidRDefault="00511A00" w:rsidP="00EB0E05">
      <w:pPr>
        <w:spacing w:after="160"/>
      </w:pPr>
    </w:p>
    <w:p w14:paraId="69601665" w14:textId="77777777" w:rsidR="00EB0E05" w:rsidRDefault="00EB0E05" w:rsidP="00EB0E05">
      <w:pPr>
        <w:spacing w:after="160"/>
      </w:pPr>
    </w:p>
    <w:p w14:paraId="264804A6" w14:textId="77777777" w:rsidR="00511A00" w:rsidRDefault="00511A00" w:rsidP="00EB0E05">
      <w:pPr>
        <w:spacing w:after="160"/>
      </w:pPr>
    </w:p>
    <w:p w14:paraId="33E7139F" w14:textId="77777777" w:rsidR="00EB0E05" w:rsidRDefault="00EB0E05" w:rsidP="00EB0E05">
      <w:pPr>
        <w:spacing w:after="160"/>
      </w:pPr>
    </w:p>
    <w:p w14:paraId="42E880E5" w14:textId="77777777" w:rsidR="00EB0E05" w:rsidRDefault="00EB0E05" w:rsidP="00EB0E05">
      <w:pPr>
        <w:spacing w:after="160"/>
      </w:pPr>
    </w:p>
    <w:p w14:paraId="6CA5ABA1" w14:textId="77777777" w:rsidR="00EB0E05" w:rsidRDefault="00EB0E05" w:rsidP="00EB0E05">
      <w:pPr>
        <w:spacing w:after="160"/>
      </w:pPr>
    </w:p>
    <w:p w14:paraId="2AB6228C" w14:textId="77777777" w:rsidR="00EB0E05" w:rsidRDefault="00EB0E05" w:rsidP="00EB0E05">
      <w:pPr>
        <w:spacing w:after="160"/>
      </w:pPr>
    </w:p>
    <w:p w14:paraId="28580D6F" w14:textId="77777777" w:rsidR="00511A00" w:rsidRDefault="00511A00" w:rsidP="00EB0E05">
      <w:pPr>
        <w:spacing w:after="160"/>
      </w:pPr>
    </w:p>
    <w:p w14:paraId="5508141E" w14:textId="77777777" w:rsidR="00EB0E05" w:rsidRDefault="00EB0E05" w:rsidP="00EB0E05">
      <w:pPr>
        <w:spacing w:after="160"/>
      </w:pPr>
    </w:p>
    <w:p w14:paraId="31F8B6F7" w14:textId="1FE09252" w:rsidR="00511A00" w:rsidRDefault="00603C47" w:rsidP="00511A00">
      <w:pPr>
        <w:pStyle w:val="ListParagraph"/>
        <w:numPr>
          <w:ilvl w:val="0"/>
          <w:numId w:val="5"/>
        </w:numPr>
        <w:pBdr>
          <w:bottom w:val="single" w:sz="6" w:space="1" w:color="auto"/>
        </w:pBdr>
        <w:tabs>
          <w:tab w:val="left" w:pos="360"/>
          <w:tab w:val="left" w:pos="810"/>
        </w:tabs>
        <w:ind w:left="360"/>
        <w:contextualSpacing w:val="0"/>
      </w:pPr>
      <w:r>
        <w:rPr>
          <w:b/>
        </w:rPr>
        <w:t xml:space="preserve">Please identify any </w:t>
      </w:r>
      <w:r w:rsidRPr="00BA006A">
        <w:rPr>
          <w:b/>
        </w:rPr>
        <w:t>significant obstacle(s)</w:t>
      </w:r>
      <w:r>
        <w:rPr>
          <w:b/>
        </w:rPr>
        <w:t xml:space="preserve"> or challenge(s)</w:t>
      </w:r>
      <w:r>
        <w:t xml:space="preserve"> that your unit faces</w:t>
      </w:r>
      <w:r w:rsidR="00FB2EA0">
        <w:t xml:space="preserve"> other than resource constraints</w:t>
      </w:r>
      <w:r>
        <w:t xml:space="preserve">. </w:t>
      </w:r>
      <w:r w:rsidRPr="00BA006A">
        <w:rPr>
          <w:b/>
        </w:rPr>
        <w:t xml:space="preserve">Please plan to discuss these with the </w:t>
      </w:r>
      <w:r w:rsidRPr="0081470D">
        <w:rPr>
          <w:b/>
        </w:rPr>
        <w:t>Provost.</w:t>
      </w:r>
      <w:r w:rsidRPr="00AC5E91">
        <w:t xml:space="preserve"> If applicable, please summarize any operational risks that</w:t>
      </w:r>
      <w:r w:rsidR="00342BD6">
        <w:t xml:space="preserve">, </w:t>
      </w:r>
      <w:r w:rsidR="00342BD6" w:rsidRPr="00AC5E91">
        <w:t>from your perspective</w:t>
      </w:r>
      <w:r w:rsidR="00342BD6">
        <w:t>,</w:t>
      </w:r>
      <w:r w:rsidRPr="00AC5E91">
        <w:t xml:space="preserve"> the UW must work to mitigate over time.</w:t>
      </w:r>
      <w:r>
        <w:t xml:space="preserve"> </w:t>
      </w:r>
    </w:p>
    <w:p w14:paraId="2D8FE312" w14:textId="77777777" w:rsidR="00570F0E" w:rsidRDefault="00570F0E" w:rsidP="00511A00">
      <w:pPr>
        <w:pStyle w:val="ListParagraph"/>
        <w:spacing w:after="160"/>
        <w:contextualSpacing w:val="0"/>
      </w:pPr>
    </w:p>
    <w:p w14:paraId="0406EC01" w14:textId="77777777" w:rsidR="00570F0E" w:rsidRDefault="00570F0E" w:rsidP="00EB0E05">
      <w:pPr>
        <w:pStyle w:val="ListParagraph"/>
        <w:spacing w:after="160"/>
      </w:pPr>
    </w:p>
    <w:p w14:paraId="18989A43" w14:textId="77777777" w:rsidR="00664C71" w:rsidRPr="008841BE" w:rsidRDefault="00664C71" w:rsidP="00EB0E05">
      <w:pPr>
        <w:tabs>
          <w:tab w:val="left" w:pos="360"/>
          <w:tab w:val="left" w:pos="810"/>
        </w:tabs>
      </w:pPr>
    </w:p>
    <w:p w14:paraId="3162C326" w14:textId="77777777" w:rsidR="008841BE" w:rsidRDefault="008841BE" w:rsidP="00EB0E05">
      <w:pPr>
        <w:rPr>
          <w:i/>
        </w:rPr>
      </w:pPr>
      <w:r>
        <w:rPr>
          <w:i/>
        </w:rPr>
        <w:br w:type="page"/>
      </w:r>
    </w:p>
    <w:p w14:paraId="34E5553C" w14:textId="6E14B72B" w:rsidR="00423500" w:rsidRPr="001A70DF" w:rsidRDefault="00603C47" w:rsidP="006E5DD9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360"/>
          <w:tab w:val="left" w:pos="810"/>
        </w:tabs>
        <w:ind w:left="360"/>
      </w:pPr>
      <w:r>
        <w:lastRenderedPageBreak/>
        <w:t xml:space="preserve">Though the </w:t>
      </w:r>
      <w:r w:rsidRPr="0081470D">
        <w:t>Provost will</w:t>
      </w:r>
      <w:r>
        <w:t xml:space="preserve"> soon be laying out requirements for FY17 merit increases, </w:t>
      </w:r>
      <w:r w:rsidR="0081470D">
        <w:t xml:space="preserve">administrative units should begin to plan for a merit allocation </w:t>
      </w:r>
      <w:r w:rsidR="00F0436F">
        <w:t>equivalent to 90-95 percent of GOF/DOF merit pool</w:t>
      </w:r>
      <w:r w:rsidR="0081470D">
        <w:t>. In other words, units should plan to receive less funding than may be necessary for a full merit increase, on average, for all GOF</w:t>
      </w:r>
      <w:r w:rsidR="00DD74E2">
        <w:t>-</w:t>
      </w:r>
      <w:r w:rsidR="0081470D">
        <w:t xml:space="preserve"> and DOF-funded positions. </w:t>
      </w:r>
      <w:r w:rsidR="0081470D">
        <w:rPr>
          <w:b/>
        </w:rPr>
        <w:t>P</w:t>
      </w:r>
      <w:r w:rsidRPr="00603C47">
        <w:rPr>
          <w:b/>
        </w:rPr>
        <w:t xml:space="preserve">lease tell us how your unit </w:t>
      </w:r>
      <w:r w:rsidR="00DD74E2">
        <w:rPr>
          <w:b/>
        </w:rPr>
        <w:t>plans</w:t>
      </w:r>
      <w:r w:rsidRPr="00603C47">
        <w:rPr>
          <w:b/>
        </w:rPr>
        <w:t xml:space="preserve"> to deploy funds for meri</w:t>
      </w:r>
      <w:r w:rsidR="00F0436F">
        <w:rPr>
          <w:b/>
        </w:rPr>
        <w:t>t increases</w:t>
      </w:r>
      <w:r w:rsidRPr="00603C47">
        <w:rPr>
          <w:b/>
        </w:rPr>
        <w:t xml:space="preserve"> in FY17</w:t>
      </w:r>
      <w:r w:rsidRPr="004D3635">
        <w:rPr>
          <w:b/>
        </w:rPr>
        <w:t>.</w:t>
      </w:r>
      <w:r w:rsidRPr="004D3635">
        <w:t xml:space="preserve"> </w:t>
      </w:r>
    </w:p>
    <w:p w14:paraId="5D039CC3" w14:textId="77777777" w:rsidR="00C67267" w:rsidRPr="00C67267" w:rsidRDefault="00C67267" w:rsidP="00EB0E05">
      <w:pPr>
        <w:tabs>
          <w:tab w:val="left" w:pos="360"/>
          <w:tab w:val="left" w:pos="810"/>
        </w:tabs>
        <w:ind w:left="360"/>
      </w:pPr>
    </w:p>
    <w:p w14:paraId="6EA1C6FE" w14:textId="77777777" w:rsidR="00C67267" w:rsidRDefault="00C67267" w:rsidP="00EB0E05">
      <w:pPr>
        <w:tabs>
          <w:tab w:val="left" w:pos="360"/>
          <w:tab w:val="left" w:pos="810"/>
        </w:tabs>
        <w:ind w:left="360"/>
      </w:pPr>
    </w:p>
    <w:p w14:paraId="4F5BFC87" w14:textId="77777777" w:rsidR="00423500" w:rsidRDefault="00423500" w:rsidP="00EB0E05">
      <w:pPr>
        <w:tabs>
          <w:tab w:val="left" w:pos="360"/>
          <w:tab w:val="left" w:pos="810"/>
        </w:tabs>
        <w:ind w:left="360"/>
      </w:pPr>
    </w:p>
    <w:p w14:paraId="16F3A36F" w14:textId="77777777" w:rsidR="00423500" w:rsidRDefault="00423500" w:rsidP="00EB0E05">
      <w:pPr>
        <w:tabs>
          <w:tab w:val="left" w:pos="360"/>
          <w:tab w:val="left" w:pos="810"/>
        </w:tabs>
        <w:ind w:left="360"/>
      </w:pPr>
    </w:p>
    <w:p w14:paraId="1BD18B61" w14:textId="77777777" w:rsidR="00E66667" w:rsidRDefault="00E66667" w:rsidP="00EB0E05">
      <w:r>
        <w:br w:type="page"/>
      </w:r>
    </w:p>
    <w:p w14:paraId="19A13524" w14:textId="2D2480F5" w:rsidR="00AC4CF0" w:rsidRDefault="00C664FB" w:rsidP="00C664FB">
      <w:pPr>
        <w:pStyle w:val="ListParagraph"/>
        <w:numPr>
          <w:ilvl w:val="0"/>
          <w:numId w:val="5"/>
        </w:numPr>
        <w:tabs>
          <w:tab w:val="left" w:pos="360"/>
          <w:tab w:val="left" w:pos="810"/>
        </w:tabs>
        <w:spacing w:after="160"/>
        <w:ind w:left="360"/>
        <w:contextualSpacing w:val="0"/>
      </w:pPr>
      <w:r>
        <w:lastRenderedPageBreak/>
        <w:t xml:space="preserve">As you may recall, </w:t>
      </w:r>
      <w:r w:rsidR="00C14898">
        <w:t>in the summer of 2014</w:t>
      </w:r>
      <w:r w:rsidR="00603C47" w:rsidRPr="00AC5E91">
        <w:t xml:space="preserve">, the UW </w:t>
      </w:r>
      <w:r w:rsidR="00603C47">
        <w:t>was</w:t>
      </w:r>
      <w:r w:rsidR="00603C47" w:rsidRPr="00AC5E91">
        <w:t xml:space="preserve"> the sole subject of a state-required audit of net operating fee (tuitio</w:t>
      </w:r>
      <w:r w:rsidR="00603C47">
        <w:t xml:space="preserve">n) and local </w:t>
      </w:r>
      <w:r w:rsidR="00603C47" w:rsidRPr="00C5325C">
        <w:t xml:space="preserve">fund accounts. The audit reinforced the importance of monitoring expenditures against budgets on a biennial basis, ensuring that colleges, schools and administrative units have plans to spend fund balance in a reasonable and mission-driven manner and that these plans are acted upon. </w:t>
      </w:r>
    </w:p>
    <w:p w14:paraId="5B80142E" w14:textId="463E6E61" w:rsidR="00C664FB" w:rsidRPr="00342BD6" w:rsidRDefault="00603C47" w:rsidP="00AC4CF0">
      <w:pPr>
        <w:pStyle w:val="ListParagraph"/>
        <w:tabs>
          <w:tab w:val="left" w:pos="360"/>
          <w:tab w:val="left" w:pos="810"/>
        </w:tabs>
        <w:spacing w:after="160"/>
        <w:ind w:left="360"/>
        <w:contextualSpacing w:val="0"/>
      </w:pPr>
      <w:r w:rsidRPr="00C5325C">
        <w:t xml:space="preserve">As such, </w:t>
      </w:r>
      <w:r w:rsidRPr="00C5325C">
        <w:rPr>
          <w:b/>
        </w:rPr>
        <w:t xml:space="preserve">we ask that you </w:t>
      </w:r>
      <w:r w:rsidRPr="00C5325C">
        <w:rPr>
          <w:b/>
          <w:u w:val="single"/>
        </w:rPr>
        <w:t>update</w:t>
      </w:r>
      <w:r w:rsidRPr="00C5325C">
        <w:rPr>
          <w:b/>
        </w:rPr>
        <w:t xml:space="preserve"> the </w:t>
      </w:r>
      <w:r w:rsidR="00C5325C" w:rsidRPr="00C5325C">
        <w:rPr>
          <w:b/>
        </w:rPr>
        <w:t xml:space="preserve">carryover </w:t>
      </w:r>
      <w:r w:rsidR="00AC4CF0">
        <w:rPr>
          <w:b/>
        </w:rPr>
        <w:t>usage plan</w:t>
      </w:r>
      <w:r w:rsidR="00C5325C" w:rsidRPr="00C5325C">
        <w:rPr>
          <w:b/>
        </w:rPr>
        <w:t xml:space="preserve"> you submitted as part of last year’s budget development process</w:t>
      </w:r>
      <w:r w:rsidRPr="00C5325C">
        <w:t xml:space="preserve">.  </w:t>
      </w:r>
      <w:r w:rsidR="00C664FB">
        <w:t xml:space="preserve">To do so, </w:t>
      </w:r>
      <w:r w:rsidR="00C664FB" w:rsidRPr="00342BD6">
        <w:t>please</w:t>
      </w:r>
      <w:r w:rsidR="00C664FB" w:rsidRPr="00342BD6">
        <w:rPr>
          <w:b/>
        </w:rPr>
        <w:t xml:space="preserve"> fill out the “</w:t>
      </w:r>
      <w:r w:rsidR="00C664FB" w:rsidRPr="00627DF5">
        <w:rPr>
          <w:b/>
        </w:rPr>
        <w:t xml:space="preserve">Carryover Worksheet </w:t>
      </w:r>
      <w:r w:rsidR="00545A68" w:rsidRPr="00627DF5">
        <w:rPr>
          <w:b/>
        </w:rPr>
        <w:t>-</w:t>
      </w:r>
      <w:r w:rsidR="00C664FB" w:rsidRPr="00627DF5">
        <w:rPr>
          <w:b/>
        </w:rPr>
        <w:t xml:space="preserve"> Detail” tab </w:t>
      </w:r>
      <w:r w:rsidR="00C664FB" w:rsidRPr="004D3635">
        <w:t xml:space="preserve">of the </w:t>
      </w:r>
      <w:r w:rsidR="004D3635" w:rsidRPr="004D3635">
        <w:t xml:space="preserve">“FY17 Administrative Budget Worksheets &amp; References” </w:t>
      </w:r>
      <w:hyperlink r:id="rId11" w:history="1">
        <w:r w:rsidR="00864EDB" w:rsidRPr="00864EDB">
          <w:rPr>
            <w:rStyle w:val="Hyperlink"/>
          </w:rPr>
          <w:t>Excel workbook</w:t>
        </w:r>
      </w:hyperlink>
      <w:r w:rsidR="00864EDB">
        <w:t xml:space="preserve"> </w:t>
      </w:r>
      <w:r w:rsidR="00AC4CF0" w:rsidRPr="00342BD6">
        <w:t>using:</w:t>
      </w:r>
    </w:p>
    <w:p w14:paraId="014613DA" w14:textId="46761C74" w:rsidR="00C5325C" w:rsidRPr="00342BD6" w:rsidRDefault="00AC4CF0" w:rsidP="00AC4CF0">
      <w:pPr>
        <w:pStyle w:val="ListParagraph"/>
        <w:numPr>
          <w:ilvl w:val="0"/>
          <w:numId w:val="17"/>
        </w:numPr>
        <w:tabs>
          <w:tab w:val="left" w:pos="720"/>
          <w:tab w:val="left" w:pos="810"/>
        </w:tabs>
        <w:spacing w:after="0"/>
        <w:contextualSpacing w:val="0"/>
      </w:pPr>
      <w:r w:rsidRPr="00342BD6">
        <w:rPr>
          <w:b/>
        </w:rPr>
        <w:t>T</w:t>
      </w:r>
      <w:r w:rsidR="00C664FB" w:rsidRPr="00342BD6">
        <w:rPr>
          <w:b/>
        </w:rPr>
        <w:t xml:space="preserve">he </w:t>
      </w:r>
      <w:r w:rsidRPr="00342BD6">
        <w:rPr>
          <w:b/>
        </w:rPr>
        <w:t>carryover plan</w:t>
      </w:r>
      <w:r w:rsidR="00C664FB" w:rsidRPr="00342BD6">
        <w:rPr>
          <w:b/>
        </w:rPr>
        <w:t xml:space="preserve"> you submitted last year</w:t>
      </w:r>
      <w:r w:rsidR="005D624E">
        <w:rPr>
          <w:b/>
        </w:rPr>
        <w:t>,</w:t>
      </w:r>
      <w:r w:rsidRPr="00342BD6">
        <w:rPr>
          <w:b/>
        </w:rPr>
        <w:t xml:space="preserve"> as a starting point</w:t>
      </w:r>
      <w:r w:rsidR="00C664FB" w:rsidRPr="00342BD6">
        <w:rPr>
          <w:b/>
        </w:rPr>
        <w:t>, modified as needed</w:t>
      </w:r>
      <w:r w:rsidR="00C664FB" w:rsidRPr="00342BD6">
        <w:t xml:space="preserve">.  </w:t>
      </w:r>
      <w:r w:rsidR="00C5325C" w:rsidRPr="00342BD6">
        <w:t xml:space="preserve">If you need a copy of the plan you submitted last year, please </w:t>
      </w:r>
      <w:r w:rsidR="001A70DF">
        <w:t>email</w:t>
      </w:r>
      <w:r w:rsidR="00C5325C" w:rsidRPr="00342BD6">
        <w:t xml:space="preserve"> </w:t>
      </w:r>
      <w:hyperlink r:id="rId12" w:history="1">
        <w:r w:rsidR="007E7733" w:rsidRPr="007E7733">
          <w:rPr>
            <w:rStyle w:val="Hyperlink"/>
          </w:rPr>
          <w:t xml:space="preserve">Amy </w:t>
        </w:r>
        <w:proofErr w:type="spellStart"/>
        <w:r w:rsidR="007E7733" w:rsidRPr="007E7733">
          <w:rPr>
            <w:rStyle w:val="Hyperlink"/>
          </w:rPr>
          <w:t>Floit</w:t>
        </w:r>
        <w:proofErr w:type="spellEnd"/>
      </w:hyperlink>
      <w:r w:rsidR="00C664FB" w:rsidRPr="00342BD6">
        <w:t xml:space="preserve"> or </w:t>
      </w:r>
      <w:hyperlink r:id="rId13" w:history="1">
        <w:proofErr w:type="spellStart"/>
        <w:r w:rsidR="001A70DF" w:rsidRPr="007E7733">
          <w:rPr>
            <w:rStyle w:val="Hyperlink"/>
          </w:rPr>
          <w:t>Becka</w:t>
        </w:r>
        <w:proofErr w:type="spellEnd"/>
        <w:r w:rsidR="001A70DF" w:rsidRPr="007E7733">
          <w:rPr>
            <w:rStyle w:val="Hyperlink"/>
          </w:rPr>
          <w:t xml:space="preserve"> Johnson </w:t>
        </w:r>
        <w:proofErr w:type="spellStart"/>
        <w:r w:rsidR="001A70DF" w:rsidRPr="007E7733">
          <w:rPr>
            <w:rStyle w:val="Hyperlink"/>
          </w:rPr>
          <w:t>Poppe</w:t>
        </w:r>
        <w:proofErr w:type="spellEnd"/>
      </w:hyperlink>
      <w:r w:rsidR="007E7733">
        <w:t>.</w:t>
      </w:r>
    </w:p>
    <w:p w14:paraId="30752559" w14:textId="1D16764C" w:rsidR="00C664FB" w:rsidRPr="00342BD6" w:rsidRDefault="00C664FB" w:rsidP="00AC4CF0">
      <w:pPr>
        <w:pStyle w:val="ListParagraph"/>
        <w:numPr>
          <w:ilvl w:val="0"/>
          <w:numId w:val="17"/>
        </w:numPr>
        <w:tabs>
          <w:tab w:val="left" w:pos="720"/>
          <w:tab w:val="left" w:pos="810"/>
        </w:tabs>
        <w:spacing w:after="0"/>
        <w:contextualSpacing w:val="0"/>
      </w:pPr>
      <w:r w:rsidRPr="00342BD6">
        <w:rPr>
          <w:b/>
        </w:rPr>
        <w:t>New reserve figures</w:t>
      </w:r>
      <w:r w:rsidRPr="00342BD6">
        <w:t>, as provided in the “Reserve Figures” tab of the aforementioned spreadsheet.</w:t>
      </w:r>
    </w:p>
    <w:p w14:paraId="7E8E371F" w14:textId="7B87CE16" w:rsidR="00C664FB" w:rsidRDefault="00C664FB" w:rsidP="005D624E">
      <w:pPr>
        <w:pStyle w:val="ListParagraph"/>
        <w:numPr>
          <w:ilvl w:val="0"/>
          <w:numId w:val="17"/>
        </w:numPr>
        <w:tabs>
          <w:tab w:val="left" w:pos="720"/>
          <w:tab w:val="left" w:pos="810"/>
        </w:tabs>
        <w:spacing w:after="0"/>
        <w:contextualSpacing w:val="0"/>
      </w:pPr>
      <w:r w:rsidRPr="00342BD6">
        <w:rPr>
          <w:b/>
        </w:rPr>
        <w:t xml:space="preserve">New carryover totals, </w:t>
      </w:r>
      <w:r w:rsidRPr="00342BD6">
        <w:t>as provided in the “</w:t>
      </w:r>
      <w:r w:rsidR="008D092D">
        <w:t>Carryover into FY16</w:t>
      </w:r>
      <w:r>
        <w:t>” tab of the aforementioned spreadsheet.</w:t>
      </w:r>
    </w:p>
    <w:p w14:paraId="4B351C19" w14:textId="77777777" w:rsidR="00470547" w:rsidRDefault="00470547" w:rsidP="00470547">
      <w:pPr>
        <w:spacing w:after="0"/>
      </w:pPr>
    </w:p>
    <w:p w14:paraId="609864E2" w14:textId="59E0F16B" w:rsidR="00470547" w:rsidRPr="005D624E" w:rsidRDefault="00470547" w:rsidP="001A70DF">
      <w:pPr>
        <w:spacing w:after="0"/>
        <w:ind w:firstLine="360"/>
      </w:pPr>
      <w:r w:rsidRPr="005D624E">
        <w:t xml:space="preserve">In the space below, please describe and explain any major change(s) to your </w:t>
      </w:r>
      <w:r w:rsidR="00AC4CF0" w:rsidRPr="005D624E">
        <w:t xml:space="preserve">carryover usage </w:t>
      </w:r>
      <w:r w:rsidRPr="005D624E">
        <w:t>plan.</w:t>
      </w:r>
    </w:p>
    <w:p w14:paraId="49E48ED7" w14:textId="77777777" w:rsidR="006E5DD9" w:rsidRPr="006E5DD9" w:rsidRDefault="006E5DD9" w:rsidP="006E5DD9">
      <w:pPr>
        <w:pBdr>
          <w:bottom w:val="single" w:sz="6" w:space="1" w:color="auto"/>
        </w:pBdr>
        <w:spacing w:after="0"/>
        <w:rPr>
          <w:sz w:val="2"/>
        </w:rPr>
      </w:pPr>
    </w:p>
    <w:p w14:paraId="60489E21" w14:textId="77777777" w:rsidR="006E5DD9" w:rsidRDefault="006E5DD9" w:rsidP="006E5DD9">
      <w:pPr>
        <w:spacing w:after="0"/>
      </w:pPr>
    </w:p>
    <w:p w14:paraId="5CE73187" w14:textId="77777777" w:rsidR="006E5DD9" w:rsidRDefault="006E5DD9" w:rsidP="006E5DD9">
      <w:pPr>
        <w:spacing w:after="0"/>
      </w:pPr>
    </w:p>
    <w:p w14:paraId="2C63E435" w14:textId="77777777" w:rsidR="006E5DD9" w:rsidRDefault="006E5DD9" w:rsidP="006E5DD9">
      <w:pPr>
        <w:spacing w:after="0"/>
      </w:pPr>
    </w:p>
    <w:p w14:paraId="0F3688C5" w14:textId="4CCC8120" w:rsidR="003131F4" w:rsidRDefault="003131F4" w:rsidP="006E5DD9">
      <w:pPr>
        <w:spacing w:after="0"/>
      </w:pPr>
    </w:p>
    <w:p w14:paraId="39D1EE12" w14:textId="77777777" w:rsidR="001A70DF" w:rsidRDefault="001A70DF" w:rsidP="006E5DD9">
      <w:pPr>
        <w:spacing w:after="0"/>
      </w:pPr>
    </w:p>
    <w:p w14:paraId="36B9DF94" w14:textId="77777777" w:rsidR="001A70DF" w:rsidRDefault="001A70DF" w:rsidP="006E5DD9">
      <w:pPr>
        <w:spacing w:after="0"/>
      </w:pPr>
    </w:p>
    <w:p w14:paraId="5C828FF3" w14:textId="77777777" w:rsidR="00353199" w:rsidRDefault="00353199" w:rsidP="006E5DD9">
      <w:pPr>
        <w:spacing w:after="0"/>
      </w:pPr>
    </w:p>
    <w:p w14:paraId="17D949A0" w14:textId="77777777" w:rsidR="00353199" w:rsidRDefault="00353199" w:rsidP="006E5DD9">
      <w:pPr>
        <w:spacing w:after="0"/>
      </w:pPr>
    </w:p>
    <w:p w14:paraId="05EA4BA1" w14:textId="77777777" w:rsidR="00353199" w:rsidRDefault="00353199" w:rsidP="006E5DD9">
      <w:pPr>
        <w:spacing w:after="0"/>
      </w:pPr>
    </w:p>
    <w:p w14:paraId="491FBC05" w14:textId="0AD009BA" w:rsidR="00603C47" w:rsidRPr="0017345B" w:rsidRDefault="00603C47" w:rsidP="00603C47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360"/>
          <w:tab w:val="left" w:pos="810"/>
        </w:tabs>
        <w:ind w:left="360"/>
      </w:pPr>
      <w:r w:rsidRPr="0081470D">
        <w:t xml:space="preserve">The Provost will be making the decision to deploy </w:t>
      </w:r>
      <w:r w:rsidR="006105C4" w:rsidRPr="006105C4">
        <w:rPr>
          <w:i/>
        </w:rPr>
        <w:t>permanent</w:t>
      </w:r>
      <w:r w:rsidR="006105C4">
        <w:t xml:space="preserve"> </w:t>
      </w:r>
      <w:r w:rsidR="00DD74E2">
        <w:t>Provost Reinvestment F</w:t>
      </w:r>
      <w:r w:rsidRPr="0081470D">
        <w:t xml:space="preserve">unds </w:t>
      </w:r>
      <w:r w:rsidRPr="0081470D">
        <w:rPr>
          <w:b/>
        </w:rPr>
        <w:t xml:space="preserve">primarily, if not exclusively, to cover for compensation increases.  The only possible exceptions </w:t>
      </w:r>
      <w:r w:rsidR="006105C4">
        <w:rPr>
          <w:b/>
        </w:rPr>
        <w:t xml:space="preserve">for permanent funds </w:t>
      </w:r>
      <w:r w:rsidRPr="0081470D">
        <w:rPr>
          <w:b/>
        </w:rPr>
        <w:t xml:space="preserve">will be for critical compliance issues. </w:t>
      </w:r>
      <w:r w:rsidR="006105C4">
        <w:t>However, req</w:t>
      </w:r>
      <w:r w:rsidR="006105C4" w:rsidRPr="0017345B">
        <w:t xml:space="preserve">uests for temporary funds will </w:t>
      </w:r>
      <w:r w:rsidR="003C48D3" w:rsidRPr="0017345B">
        <w:t xml:space="preserve">only </w:t>
      </w:r>
      <w:r w:rsidR="006105C4" w:rsidRPr="0017345B">
        <w:t>be entertained in areas of high institutional priority and in consultation with fac</w:t>
      </w:r>
      <w:bookmarkStart w:id="0" w:name="_GoBack"/>
      <w:bookmarkEnd w:id="0"/>
      <w:r w:rsidR="006105C4" w:rsidRPr="0017345B">
        <w:t>ulty, staff and students.</w:t>
      </w:r>
    </w:p>
    <w:p w14:paraId="617CF83C" w14:textId="2ABA3310" w:rsidR="00603C47" w:rsidRPr="0017345B" w:rsidRDefault="00603C47" w:rsidP="00603C47">
      <w:pPr>
        <w:pBdr>
          <w:bottom w:val="single" w:sz="4" w:space="1" w:color="auto"/>
        </w:pBdr>
        <w:tabs>
          <w:tab w:val="left" w:pos="360"/>
          <w:tab w:val="left" w:pos="810"/>
        </w:tabs>
        <w:ind w:left="360" w:hanging="360"/>
      </w:pPr>
      <w:r w:rsidRPr="0017345B">
        <w:rPr>
          <w:b/>
        </w:rPr>
        <w:tab/>
      </w:r>
      <w:r w:rsidR="003C48D3" w:rsidRPr="0017345B">
        <w:t>If you have a Provost Reinvestment Fund request that fits within these strict parameters, please describe it using the framework below</w:t>
      </w:r>
      <w:r w:rsidRPr="0017345B">
        <w:t xml:space="preserve">.  </w:t>
      </w:r>
    </w:p>
    <w:p w14:paraId="124C0FA2" w14:textId="77777777" w:rsidR="00603C47" w:rsidRPr="0017345B" w:rsidRDefault="00603C47" w:rsidP="001A70DF">
      <w:pPr>
        <w:spacing w:after="0"/>
      </w:pPr>
    </w:p>
    <w:p w14:paraId="4B663235" w14:textId="12BBF323" w:rsidR="003C48D3" w:rsidRPr="0017345B" w:rsidRDefault="003C48D3" w:rsidP="003C48D3">
      <w:pPr>
        <w:rPr>
          <w:b/>
        </w:rPr>
      </w:pPr>
      <w:r w:rsidRPr="0017345B">
        <w:rPr>
          <w:b/>
        </w:rPr>
        <w:t>Title</w:t>
      </w:r>
      <w:r w:rsidRPr="0017345B">
        <w:rPr>
          <w:b/>
        </w:rPr>
        <w:tab/>
      </w:r>
      <w:r w:rsidRPr="0017345B">
        <w:rPr>
          <w:b/>
        </w:rPr>
        <w:tab/>
      </w:r>
      <w:r w:rsidRPr="0017345B">
        <w:rPr>
          <w:b/>
        </w:rPr>
        <w:tab/>
      </w:r>
      <w:r w:rsidRPr="0017345B">
        <w:rPr>
          <w:b/>
        </w:rPr>
        <w:tab/>
        <w:t>Funding</w:t>
      </w:r>
      <w:r w:rsidRPr="0017345B">
        <w:rPr>
          <w:b/>
        </w:rPr>
        <w:tab/>
        <w:t>FY</w:t>
      </w:r>
      <w:r w:rsidRPr="0017345B">
        <w:rPr>
          <w:b/>
        </w:rPr>
        <w:tab/>
        <w:t>P/T</w:t>
      </w:r>
      <w:r w:rsidRPr="0017345B">
        <w:rPr>
          <w:b/>
        </w:rPr>
        <w:tab/>
        <w:t>Years Needed (If Temp)</w:t>
      </w:r>
      <w:r w:rsidRPr="0017345B">
        <w:rPr>
          <w:b/>
        </w:rPr>
        <w:tab/>
      </w:r>
      <w:r w:rsidRPr="0017345B">
        <w:rPr>
          <w:b/>
        </w:rPr>
        <w:tab/>
      </w:r>
    </w:p>
    <w:p w14:paraId="2AA0FA6A" w14:textId="15059899" w:rsidR="003C48D3" w:rsidRPr="0017345B" w:rsidRDefault="003C48D3" w:rsidP="003C48D3">
      <w:pPr>
        <w:rPr>
          <w:i/>
        </w:rPr>
      </w:pPr>
      <w:r w:rsidRPr="0017345B">
        <w:rPr>
          <w:i/>
        </w:rPr>
        <w:t xml:space="preserve">Ex: </w:t>
      </w:r>
      <w:r w:rsidR="0017345B" w:rsidRPr="0017345B">
        <w:rPr>
          <w:i/>
        </w:rPr>
        <w:t>Student Experience Project</w:t>
      </w:r>
      <w:r w:rsidRPr="0017345B">
        <w:rPr>
          <w:i/>
        </w:rPr>
        <w:tab/>
        <w:t>$</w:t>
      </w:r>
      <w:r w:rsidR="00E61E0B" w:rsidRPr="0017345B">
        <w:rPr>
          <w:i/>
        </w:rPr>
        <w:t>4</w:t>
      </w:r>
      <w:r w:rsidRPr="0017345B">
        <w:rPr>
          <w:i/>
        </w:rPr>
        <w:t>0,000</w:t>
      </w:r>
      <w:r w:rsidRPr="0017345B">
        <w:rPr>
          <w:i/>
        </w:rPr>
        <w:tab/>
        <w:t>FY17</w:t>
      </w:r>
      <w:r w:rsidRPr="0017345B">
        <w:rPr>
          <w:i/>
        </w:rPr>
        <w:tab/>
        <w:t>Temp</w:t>
      </w:r>
      <w:r w:rsidRPr="0017345B">
        <w:rPr>
          <w:i/>
        </w:rPr>
        <w:tab/>
        <w:t>1</w:t>
      </w:r>
      <w:r w:rsidRPr="0017345B">
        <w:rPr>
          <w:i/>
        </w:rPr>
        <w:tab/>
      </w:r>
      <w:r w:rsidRPr="0017345B">
        <w:rPr>
          <w:i/>
        </w:rPr>
        <w:tab/>
      </w:r>
      <w:r w:rsidRPr="0017345B">
        <w:rPr>
          <w:i/>
        </w:rPr>
        <w:tab/>
      </w:r>
      <w:r w:rsidRPr="0017345B">
        <w:rPr>
          <w:i/>
        </w:rPr>
        <w:tab/>
      </w:r>
    </w:p>
    <w:p w14:paraId="532E1746" w14:textId="32A2C465" w:rsidR="001A70DF" w:rsidRPr="003C48D3" w:rsidRDefault="003C48D3" w:rsidP="003C48D3">
      <w:pPr>
        <w:pStyle w:val="ListParagraph"/>
        <w:spacing w:after="0"/>
        <w:ind w:left="0"/>
        <w:contextualSpacing w:val="0"/>
        <w:rPr>
          <w:i/>
        </w:rPr>
      </w:pPr>
      <w:r w:rsidRPr="0017345B">
        <w:rPr>
          <w:i/>
        </w:rPr>
        <w:t>Brief description, not to exceed 200 words, highlighting the alignment of the request to critical compliance issues or institutional priorities.</w:t>
      </w:r>
    </w:p>
    <w:p w14:paraId="2A3FC30E" w14:textId="77777777" w:rsidR="001A70DF" w:rsidRPr="003C48D3" w:rsidRDefault="001A70DF" w:rsidP="001A70DF">
      <w:pPr>
        <w:pStyle w:val="ListParagraph"/>
        <w:spacing w:after="0"/>
        <w:ind w:left="0"/>
        <w:contextualSpacing w:val="0"/>
      </w:pPr>
    </w:p>
    <w:p w14:paraId="6B2AB5C4" w14:textId="77777777" w:rsidR="001A70DF" w:rsidRPr="003C48D3" w:rsidRDefault="001A70DF" w:rsidP="001A70DF">
      <w:pPr>
        <w:pStyle w:val="ListParagraph"/>
        <w:spacing w:after="0"/>
        <w:ind w:left="0"/>
        <w:contextualSpacing w:val="0"/>
      </w:pPr>
    </w:p>
    <w:p w14:paraId="19190ABE" w14:textId="77777777" w:rsidR="001A70DF" w:rsidRPr="003C48D3" w:rsidRDefault="001A70DF" w:rsidP="001A70DF">
      <w:pPr>
        <w:pStyle w:val="ListParagraph"/>
        <w:spacing w:after="0"/>
        <w:ind w:left="0"/>
        <w:contextualSpacing w:val="0"/>
      </w:pPr>
    </w:p>
    <w:sectPr w:rsidR="001A70DF" w:rsidRPr="003C48D3" w:rsidSect="003A2359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2E890" w14:textId="77777777" w:rsidR="00C3790F" w:rsidRDefault="00C3790F" w:rsidP="0005376F">
      <w:pPr>
        <w:spacing w:after="0" w:line="240" w:lineRule="auto"/>
      </w:pPr>
      <w:r>
        <w:separator/>
      </w:r>
    </w:p>
  </w:endnote>
  <w:endnote w:type="continuationSeparator" w:id="0">
    <w:p w14:paraId="78F0644A" w14:textId="77777777" w:rsidR="00C3790F" w:rsidRDefault="00C3790F" w:rsidP="0005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98" w:type="dxa"/>
      <w:tblBorders>
        <w:top w:val="single" w:sz="24" w:space="0" w:color="auto"/>
      </w:tblBorders>
      <w:tblLook w:val="04A0" w:firstRow="1" w:lastRow="0" w:firstColumn="1" w:lastColumn="0" w:noHBand="0" w:noVBand="1"/>
    </w:tblPr>
    <w:tblGrid>
      <w:gridCol w:w="5508"/>
      <w:gridCol w:w="5490"/>
    </w:tblGrid>
    <w:tr w:rsidR="003A2359" w:rsidRPr="0052678E" w14:paraId="27F72788" w14:textId="77777777" w:rsidTr="003A2359">
      <w:trPr>
        <w:trHeight w:val="480"/>
      </w:trPr>
      <w:tc>
        <w:tcPr>
          <w:tcW w:w="5508" w:type="dxa"/>
          <w:vAlign w:val="center"/>
        </w:tcPr>
        <w:p w14:paraId="4FD30C96" w14:textId="77777777" w:rsidR="003A2359" w:rsidRPr="0052678E" w:rsidRDefault="003A2359" w:rsidP="0052678E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szCs w:val="24"/>
            </w:rPr>
          </w:pPr>
          <w:r w:rsidRPr="0052678E">
            <w:rPr>
              <w:b/>
              <w:szCs w:val="24"/>
            </w:rPr>
            <w:t xml:space="preserve">Page </w:t>
          </w:r>
          <w:r>
            <w:rPr>
              <w:b/>
              <w:szCs w:val="24"/>
            </w:rPr>
            <w:fldChar w:fldCharType="begin"/>
          </w:r>
          <w:r>
            <w:rPr>
              <w:b/>
              <w:szCs w:val="24"/>
            </w:rPr>
            <w:instrText xml:space="preserve"> PAGE  </w:instrText>
          </w:r>
          <w:r>
            <w:rPr>
              <w:b/>
              <w:szCs w:val="24"/>
            </w:rPr>
            <w:fldChar w:fldCharType="separate"/>
          </w:r>
          <w:r w:rsidR="0017345B">
            <w:rPr>
              <w:b/>
              <w:noProof/>
              <w:szCs w:val="24"/>
            </w:rPr>
            <w:t>4</w:t>
          </w:r>
          <w:r>
            <w:rPr>
              <w:b/>
              <w:szCs w:val="24"/>
            </w:rPr>
            <w:fldChar w:fldCharType="end"/>
          </w:r>
        </w:p>
      </w:tc>
      <w:tc>
        <w:tcPr>
          <w:tcW w:w="5490" w:type="dxa"/>
          <w:vAlign w:val="bottom"/>
        </w:tcPr>
        <w:p w14:paraId="6E96BDAA" w14:textId="77777777" w:rsidR="003A2359" w:rsidRPr="0052678E" w:rsidRDefault="003A2359" w:rsidP="0052678E">
          <w:pPr>
            <w:tabs>
              <w:tab w:val="center" w:pos="4680"/>
              <w:tab w:val="right" w:pos="9360"/>
            </w:tabs>
            <w:spacing w:after="0" w:line="240" w:lineRule="auto"/>
            <w:jc w:val="right"/>
          </w:pPr>
        </w:p>
      </w:tc>
    </w:tr>
  </w:tbl>
  <w:p w14:paraId="4FB46126" w14:textId="77777777" w:rsidR="003A2359" w:rsidRDefault="003A2359" w:rsidP="00053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FA640" w14:textId="77777777" w:rsidR="00C3790F" w:rsidRDefault="00C3790F" w:rsidP="0005376F">
      <w:pPr>
        <w:spacing w:after="0" w:line="240" w:lineRule="auto"/>
      </w:pPr>
      <w:r>
        <w:separator/>
      </w:r>
    </w:p>
  </w:footnote>
  <w:footnote w:type="continuationSeparator" w:id="0">
    <w:p w14:paraId="60F8AB2A" w14:textId="77777777" w:rsidR="00C3790F" w:rsidRDefault="00C3790F" w:rsidP="0005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6"/>
      <w:gridCol w:w="4992"/>
    </w:tblGrid>
    <w:tr w:rsidR="003A2359" w14:paraId="0A4A2C99" w14:textId="77777777" w:rsidTr="003A2359">
      <w:trPr>
        <w:trHeight w:val="540"/>
      </w:trPr>
      <w:tc>
        <w:tcPr>
          <w:tcW w:w="6006" w:type="dxa"/>
          <w:vAlign w:val="center"/>
        </w:tcPr>
        <w:p w14:paraId="5FBE61A4" w14:textId="77777777" w:rsidR="003A2359" w:rsidRDefault="003A2359" w:rsidP="007D1BB8">
          <w:pPr>
            <w:pStyle w:val="Header"/>
          </w:pPr>
          <w:r>
            <w:rPr>
              <w:noProof/>
            </w:rPr>
            <w:drawing>
              <wp:inline distT="0" distB="0" distL="0" distR="0" wp14:anchorId="2A10F6A2" wp14:editId="67D26D01">
                <wp:extent cx="3657600" cy="285750"/>
                <wp:effectExtent l="19050" t="0" r="0" b="0"/>
                <wp:docPr id="6" name="Picture 6" descr="C:\Users\kkuenzi\AppData\Local\Microsoft\Windows\Temporary Internet Files\Content.Word\UW.Signature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uenzi\AppData\Local\Microsoft\Windows\Temporary Internet Files\Content.Word\UW.Signature_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vAlign w:val="center"/>
        </w:tcPr>
        <w:p w14:paraId="25B4B80E" w14:textId="77777777" w:rsidR="003A2359" w:rsidRPr="00C45E99" w:rsidRDefault="003A2359" w:rsidP="000973D6">
          <w:pPr>
            <w:pStyle w:val="Header"/>
            <w:jc w:val="right"/>
            <w:rPr>
              <w:b/>
              <w:sz w:val="24"/>
              <w:szCs w:val="36"/>
            </w:rPr>
          </w:pPr>
          <w:r w:rsidRPr="00C45E99">
            <w:rPr>
              <w:b/>
              <w:sz w:val="24"/>
              <w:szCs w:val="36"/>
            </w:rPr>
            <w:t xml:space="preserve">Office of Planning &amp; Budgeting  </w:t>
          </w:r>
        </w:p>
        <w:p w14:paraId="2105C502" w14:textId="73D62710" w:rsidR="003A2359" w:rsidRDefault="00C96B20" w:rsidP="00076816">
          <w:pPr>
            <w:pStyle w:val="Header"/>
            <w:jc w:val="right"/>
            <w:rPr>
              <w:b/>
              <w:sz w:val="24"/>
              <w:szCs w:val="36"/>
            </w:rPr>
          </w:pPr>
          <w:r>
            <w:rPr>
              <w:b/>
              <w:sz w:val="24"/>
              <w:szCs w:val="36"/>
            </w:rPr>
            <w:t>FY</w:t>
          </w:r>
          <w:r w:rsidR="003A2359" w:rsidRPr="00C45E99">
            <w:rPr>
              <w:b/>
              <w:sz w:val="24"/>
              <w:szCs w:val="36"/>
            </w:rPr>
            <w:t>1</w:t>
          </w:r>
          <w:r>
            <w:rPr>
              <w:b/>
              <w:sz w:val="24"/>
              <w:szCs w:val="36"/>
            </w:rPr>
            <w:t>7</w:t>
          </w:r>
          <w:r w:rsidR="003A2359">
            <w:rPr>
              <w:b/>
              <w:sz w:val="24"/>
              <w:szCs w:val="36"/>
            </w:rPr>
            <w:t xml:space="preserve"> Budget Development </w:t>
          </w:r>
        </w:p>
        <w:p w14:paraId="7563A1FC" w14:textId="77777777" w:rsidR="003A2359" w:rsidRPr="00123215" w:rsidRDefault="003A2359" w:rsidP="00076816">
          <w:pPr>
            <w:pStyle w:val="Header"/>
            <w:jc w:val="right"/>
            <w:rPr>
              <w:b/>
              <w:sz w:val="36"/>
              <w:szCs w:val="36"/>
            </w:rPr>
          </w:pPr>
          <w:r>
            <w:rPr>
              <w:b/>
              <w:sz w:val="24"/>
              <w:szCs w:val="36"/>
            </w:rPr>
            <w:t>Administrative Units</w:t>
          </w:r>
        </w:p>
      </w:tc>
    </w:tr>
  </w:tbl>
  <w:p w14:paraId="5A9D9A5C" w14:textId="77777777" w:rsidR="003A2359" w:rsidRDefault="003A2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98" w:type="dxa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6"/>
      <w:gridCol w:w="4992"/>
    </w:tblGrid>
    <w:tr w:rsidR="003A2359" w14:paraId="28BC29E6" w14:textId="77777777" w:rsidTr="00EA5297">
      <w:trPr>
        <w:trHeight w:val="540"/>
      </w:trPr>
      <w:tc>
        <w:tcPr>
          <w:tcW w:w="6006" w:type="dxa"/>
          <w:vAlign w:val="center"/>
        </w:tcPr>
        <w:p w14:paraId="534236C6" w14:textId="77777777" w:rsidR="003A2359" w:rsidRDefault="003A2359" w:rsidP="00EA5297">
          <w:pPr>
            <w:pStyle w:val="Header"/>
          </w:pPr>
          <w:r>
            <w:rPr>
              <w:noProof/>
            </w:rPr>
            <w:drawing>
              <wp:inline distT="0" distB="0" distL="0" distR="0" wp14:anchorId="0EACBC7F" wp14:editId="13C814A7">
                <wp:extent cx="3657600" cy="285750"/>
                <wp:effectExtent l="19050" t="0" r="0" b="0"/>
                <wp:docPr id="9" name="Picture 9" descr="C:\Users\kkuenzi\AppData\Local\Microsoft\Windows\Temporary Internet Files\Content.Word\UW.Signature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uenzi\AppData\Local\Microsoft\Windows\Temporary Internet Files\Content.Word\UW.Signature_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vAlign w:val="center"/>
        </w:tcPr>
        <w:p w14:paraId="2E3C250B" w14:textId="77777777" w:rsidR="003A2359" w:rsidRPr="00C45E99" w:rsidRDefault="003A2359" w:rsidP="00EA5297">
          <w:pPr>
            <w:pStyle w:val="Header"/>
            <w:jc w:val="right"/>
            <w:rPr>
              <w:b/>
              <w:sz w:val="24"/>
              <w:szCs w:val="36"/>
            </w:rPr>
          </w:pPr>
          <w:r w:rsidRPr="00C45E99">
            <w:rPr>
              <w:b/>
              <w:sz w:val="24"/>
              <w:szCs w:val="36"/>
            </w:rPr>
            <w:t xml:space="preserve">Office of Planning &amp; Budgeting  </w:t>
          </w:r>
        </w:p>
        <w:p w14:paraId="5465EC0A" w14:textId="77777777" w:rsidR="003A2359" w:rsidRDefault="003A2359" w:rsidP="00EA5297">
          <w:pPr>
            <w:pStyle w:val="Header"/>
            <w:jc w:val="right"/>
            <w:rPr>
              <w:b/>
              <w:sz w:val="24"/>
              <w:szCs w:val="36"/>
            </w:rPr>
          </w:pPr>
          <w:r w:rsidRPr="00C45E99">
            <w:rPr>
              <w:b/>
              <w:sz w:val="24"/>
              <w:szCs w:val="36"/>
            </w:rPr>
            <w:t>FY201</w:t>
          </w:r>
          <w:r>
            <w:rPr>
              <w:b/>
              <w:sz w:val="24"/>
              <w:szCs w:val="36"/>
            </w:rPr>
            <w:t xml:space="preserve">6 Budget Development </w:t>
          </w:r>
        </w:p>
        <w:p w14:paraId="651D1BB0" w14:textId="77777777" w:rsidR="003A2359" w:rsidRPr="00123215" w:rsidRDefault="003A2359" w:rsidP="00EA5297">
          <w:pPr>
            <w:pStyle w:val="Header"/>
            <w:jc w:val="right"/>
            <w:rPr>
              <w:b/>
              <w:sz w:val="36"/>
              <w:szCs w:val="36"/>
            </w:rPr>
          </w:pPr>
          <w:r>
            <w:rPr>
              <w:b/>
              <w:sz w:val="24"/>
              <w:szCs w:val="36"/>
            </w:rPr>
            <w:t>Administrative Units</w:t>
          </w:r>
        </w:p>
      </w:tc>
    </w:tr>
  </w:tbl>
  <w:p w14:paraId="55A012CD" w14:textId="77777777" w:rsidR="003A2359" w:rsidRPr="003A2359" w:rsidRDefault="003A2359" w:rsidP="003A2359">
    <w:pPr>
      <w:pStyle w:val="Header"/>
    </w:pPr>
    <w:r w:rsidRPr="003A235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4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7D37B6"/>
    <w:multiLevelType w:val="multilevel"/>
    <w:tmpl w:val="188C1D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6864D9"/>
    <w:multiLevelType w:val="hybridMultilevel"/>
    <w:tmpl w:val="DDD6EB9E"/>
    <w:lvl w:ilvl="0" w:tplc="531CA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6AC6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60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156757"/>
    <w:multiLevelType w:val="hybridMultilevel"/>
    <w:tmpl w:val="84923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399C"/>
    <w:multiLevelType w:val="hybridMultilevel"/>
    <w:tmpl w:val="9E66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6E"/>
    <w:multiLevelType w:val="hybridMultilevel"/>
    <w:tmpl w:val="29E6B786"/>
    <w:lvl w:ilvl="0" w:tplc="F468E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B74BDE"/>
    <w:multiLevelType w:val="hybridMultilevel"/>
    <w:tmpl w:val="AB50C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156FB6"/>
    <w:multiLevelType w:val="hybridMultilevel"/>
    <w:tmpl w:val="9E48B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97854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9C1265"/>
    <w:multiLevelType w:val="hybridMultilevel"/>
    <w:tmpl w:val="D96A3D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4660257"/>
    <w:multiLevelType w:val="hybridMultilevel"/>
    <w:tmpl w:val="C32E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80347"/>
    <w:multiLevelType w:val="hybridMultilevel"/>
    <w:tmpl w:val="7A3CBA18"/>
    <w:lvl w:ilvl="0" w:tplc="35BA9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447A6B"/>
    <w:multiLevelType w:val="hybridMultilevel"/>
    <w:tmpl w:val="4A9C930E"/>
    <w:lvl w:ilvl="0" w:tplc="B5867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231942"/>
    <w:multiLevelType w:val="hybridMultilevel"/>
    <w:tmpl w:val="39086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9806CB"/>
    <w:multiLevelType w:val="hybridMultilevel"/>
    <w:tmpl w:val="12E8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F4328"/>
    <w:multiLevelType w:val="hybridMultilevel"/>
    <w:tmpl w:val="06903B8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1"/>
  </w:num>
  <w:num w:numId="14">
    <w:abstractNumId w:val="0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08"/>
    <w:rsid w:val="00010140"/>
    <w:rsid w:val="00010158"/>
    <w:rsid w:val="00010888"/>
    <w:rsid w:val="000131C3"/>
    <w:rsid w:val="00024690"/>
    <w:rsid w:val="0005376F"/>
    <w:rsid w:val="00076816"/>
    <w:rsid w:val="000973D6"/>
    <w:rsid w:val="000A15AC"/>
    <w:rsid w:val="000A7669"/>
    <w:rsid w:val="000B0C1E"/>
    <w:rsid w:val="000B529A"/>
    <w:rsid w:val="000C5267"/>
    <w:rsid w:val="000D2813"/>
    <w:rsid w:val="000D2E3F"/>
    <w:rsid w:val="000D4CA5"/>
    <w:rsid w:val="000E435E"/>
    <w:rsid w:val="000F623A"/>
    <w:rsid w:val="00100CFC"/>
    <w:rsid w:val="00104040"/>
    <w:rsid w:val="001621EF"/>
    <w:rsid w:val="0017345B"/>
    <w:rsid w:val="001769EC"/>
    <w:rsid w:val="00186859"/>
    <w:rsid w:val="00195E84"/>
    <w:rsid w:val="001A30CD"/>
    <w:rsid w:val="001A70DF"/>
    <w:rsid w:val="001A7BD8"/>
    <w:rsid w:val="001B2F59"/>
    <w:rsid w:val="001B5F09"/>
    <w:rsid w:val="001B6481"/>
    <w:rsid w:val="001C28CE"/>
    <w:rsid w:val="001C68B2"/>
    <w:rsid w:val="001F0D20"/>
    <w:rsid w:val="001F4EED"/>
    <w:rsid w:val="0020515D"/>
    <w:rsid w:val="00210A91"/>
    <w:rsid w:val="00242597"/>
    <w:rsid w:val="00247583"/>
    <w:rsid w:val="002674DA"/>
    <w:rsid w:val="002705AB"/>
    <w:rsid w:val="00270C69"/>
    <w:rsid w:val="00284199"/>
    <w:rsid w:val="00297A48"/>
    <w:rsid w:val="002A1597"/>
    <w:rsid w:val="002A3AE7"/>
    <w:rsid w:val="002B5808"/>
    <w:rsid w:val="002C1BBE"/>
    <w:rsid w:val="002D0905"/>
    <w:rsid w:val="002E4C56"/>
    <w:rsid w:val="002F242B"/>
    <w:rsid w:val="002F7DE8"/>
    <w:rsid w:val="00304F61"/>
    <w:rsid w:val="0030651E"/>
    <w:rsid w:val="00306EA7"/>
    <w:rsid w:val="003131F4"/>
    <w:rsid w:val="00325C7D"/>
    <w:rsid w:val="003310AF"/>
    <w:rsid w:val="003339AC"/>
    <w:rsid w:val="00342BD6"/>
    <w:rsid w:val="00353199"/>
    <w:rsid w:val="00357141"/>
    <w:rsid w:val="00366099"/>
    <w:rsid w:val="00372DF5"/>
    <w:rsid w:val="00387CA8"/>
    <w:rsid w:val="003A2359"/>
    <w:rsid w:val="003B5B47"/>
    <w:rsid w:val="003C29ED"/>
    <w:rsid w:val="003C48D3"/>
    <w:rsid w:val="003D4FB0"/>
    <w:rsid w:val="003E2703"/>
    <w:rsid w:val="003E42AD"/>
    <w:rsid w:val="003F6220"/>
    <w:rsid w:val="00423500"/>
    <w:rsid w:val="00424ECA"/>
    <w:rsid w:val="00426B7E"/>
    <w:rsid w:val="00470547"/>
    <w:rsid w:val="004723DA"/>
    <w:rsid w:val="0047453A"/>
    <w:rsid w:val="00474B6E"/>
    <w:rsid w:val="004750CC"/>
    <w:rsid w:val="004850A9"/>
    <w:rsid w:val="0049284D"/>
    <w:rsid w:val="004977A4"/>
    <w:rsid w:val="004D3635"/>
    <w:rsid w:val="004E5A92"/>
    <w:rsid w:val="004F1A55"/>
    <w:rsid w:val="004F3CEA"/>
    <w:rsid w:val="00511A00"/>
    <w:rsid w:val="0052678E"/>
    <w:rsid w:val="00527660"/>
    <w:rsid w:val="00537972"/>
    <w:rsid w:val="00545A68"/>
    <w:rsid w:val="00570F0E"/>
    <w:rsid w:val="00581394"/>
    <w:rsid w:val="005D30D8"/>
    <w:rsid w:val="005D624E"/>
    <w:rsid w:val="005E1E63"/>
    <w:rsid w:val="00603C47"/>
    <w:rsid w:val="006105C4"/>
    <w:rsid w:val="00614FB0"/>
    <w:rsid w:val="00615F2A"/>
    <w:rsid w:val="00621896"/>
    <w:rsid w:val="00627DF5"/>
    <w:rsid w:val="006341FE"/>
    <w:rsid w:val="00664C71"/>
    <w:rsid w:val="006703D8"/>
    <w:rsid w:val="00670531"/>
    <w:rsid w:val="00676E74"/>
    <w:rsid w:val="00682C74"/>
    <w:rsid w:val="00682EFA"/>
    <w:rsid w:val="00687B15"/>
    <w:rsid w:val="006A1FC7"/>
    <w:rsid w:val="006C196E"/>
    <w:rsid w:val="006C2B38"/>
    <w:rsid w:val="006C41C1"/>
    <w:rsid w:val="006C5D6F"/>
    <w:rsid w:val="006D3FCB"/>
    <w:rsid w:val="006E5DD9"/>
    <w:rsid w:val="006E7EEF"/>
    <w:rsid w:val="007021CD"/>
    <w:rsid w:val="00706BE7"/>
    <w:rsid w:val="00714E6C"/>
    <w:rsid w:val="00725860"/>
    <w:rsid w:val="00727CAC"/>
    <w:rsid w:val="007319EE"/>
    <w:rsid w:val="007323C0"/>
    <w:rsid w:val="00756285"/>
    <w:rsid w:val="0076086D"/>
    <w:rsid w:val="00777BB9"/>
    <w:rsid w:val="007945D1"/>
    <w:rsid w:val="007A0188"/>
    <w:rsid w:val="007A301D"/>
    <w:rsid w:val="007A35B0"/>
    <w:rsid w:val="007B2F68"/>
    <w:rsid w:val="007D042B"/>
    <w:rsid w:val="007D11F6"/>
    <w:rsid w:val="007D1BB8"/>
    <w:rsid w:val="007D2E1D"/>
    <w:rsid w:val="007D3944"/>
    <w:rsid w:val="007D64B2"/>
    <w:rsid w:val="007D7BBB"/>
    <w:rsid w:val="007E61AE"/>
    <w:rsid w:val="007E7733"/>
    <w:rsid w:val="007F6C19"/>
    <w:rsid w:val="007F7AC0"/>
    <w:rsid w:val="00800CF9"/>
    <w:rsid w:val="00811C6A"/>
    <w:rsid w:val="00812655"/>
    <w:rsid w:val="0081470D"/>
    <w:rsid w:val="0083077C"/>
    <w:rsid w:val="008342B2"/>
    <w:rsid w:val="00835564"/>
    <w:rsid w:val="00853A47"/>
    <w:rsid w:val="00854F1C"/>
    <w:rsid w:val="00860E15"/>
    <w:rsid w:val="00861471"/>
    <w:rsid w:val="00864EDB"/>
    <w:rsid w:val="008841BE"/>
    <w:rsid w:val="0089164B"/>
    <w:rsid w:val="008A606B"/>
    <w:rsid w:val="008B28D9"/>
    <w:rsid w:val="008C2887"/>
    <w:rsid w:val="008D092D"/>
    <w:rsid w:val="008E09B9"/>
    <w:rsid w:val="008E2193"/>
    <w:rsid w:val="008E24C1"/>
    <w:rsid w:val="008F6D74"/>
    <w:rsid w:val="00906228"/>
    <w:rsid w:val="009103CF"/>
    <w:rsid w:val="00932093"/>
    <w:rsid w:val="00942497"/>
    <w:rsid w:val="00963200"/>
    <w:rsid w:val="00973527"/>
    <w:rsid w:val="009757E4"/>
    <w:rsid w:val="009A628A"/>
    <w:rsid w:val="009E2693"/>
    <w:rsid w:val="009F177A"/>
    <w:rsid w:val="00A00538"/>
    <w:rsid w:val="00A1693E"/>
    <w:rsid w:val="00A16EE5"/>
    <w:rsid w:val="00A22C03"/>
    <w:rsid w:val="00A40A47"/>
    <w:rsid w:val="00A44EDB"/>
    <w:rsid w:val="00A704EF"/>
    <w:rsid w:val="00A71D09"/>
    <w:rsid w:val="00A720DF"/>
    <w:rsid w:val="00A75E83"/>
    <w:rsid w:val="00A777EA"/>
    <w:rsid w:val="00A82D88"/>
    <w:rsid w:val="00AA3129"/>
    <w:rsid w:val="00AA348A"/>
    <w:rsid w:val="00AB7484"/>
    <w:rsid w:val="00AC24B9"/>
    <w:rsid w:val="00AC4CF0"/>
    <w:rsid w:val="00AF04EF"/>
    <w:rsid w:val="00B2453A"/>
    <w:rsid w:val="00B3243C"/>
    <w:rsid w:val="00B343A7"/>
    <w:rsid w:val="00B45294"/>
    <w:rsid w:val="00B9189F"/>
    <w:rsid w:val="00BD2877"/>
    <w:rsid w:val="00BD38F4"/>
    <w:rsid w:val="00BE146D"/>
    <w:rsid w:val="00BE245B"/>
    <w:rsid w:val="00C05B1E"/>
    <w:rsid w:val="00C14898"/>
    <w:rsid w:val="00C23D16"/>
    <w:rsid w:val="00C319C1"/>
    <w:rsid w:val="00C3790F"/>
    <w:rsid w:val="00C44426"/>
    <w:rsid w:val="00C45E99"/>
    <w:rsid w:val="00C5325C"/>
    <w:rsid w:val="00C661F0"/>
    <w:rsid w:val="00C664FB"/>
    <w:rsid w:val="00C67267"/>
    <w:rsid w:val="00C67527"/>
    <w:rsid w:val="00C7036A"/>
    <w:rsid w:val="00C832C8"/>
    <w:rsid w:val="00C84564"/>
    <w:rsid w:val="00C9469E"/>
    <w:rsid w:val="00C95F82"/>
    <w:rsid w:val="00C96B20"/>
    <w:rsid w:val="00CA2863"/>
    <w:rsid w:val="00CB1AB2"/>
    <w:rsid w:val="00CC418F"/>
    <w:rsid w:val="00CD0F59"/>
    <w:rsid w:val="00D450E0"/>
    <w:rsid w:val="00D61051"/>
    <w:rsid w:val="00D63427"/>
    <w:rsid w:val="00D669EE"/>
    <w:rsid w:val="00D82CD6"/>
    <w:rsid w:val="00D918D0"/>
    <w:rsid w:val="00DB2A01"/>
    <w:rsid w:val="00DD718C"/>
    <w:rsid w:val="00DD74E2"/>
    <w:rsid w:val="00E04E1E"/>
    <w:rsid w:val="00E063C9"/>
    <w:rsid w:val="00E16380"/>
    <w:rsid w:val="00E2794E"/>
    <w:rsid w:val="00E342F4"/>
    <w:rsid w:val="00E37811"/>
    <w:rsid w:val="00E533A3"/>
    <w:rsid w:val="00E56AFF"/>
    <w:rsid w:val="00E61E0B"/>
    <w:rsid w:val="00E66667"/>
    <w:rsid w:val="00E66AB9"/>
    <w:rsid w:val="00EA2A66"/>
    <w:rsid w:val="00EB0E05"/>
    <w:rsid w:val="00EB6BF7"/>
    <w:rsid w:val="00EC1753"/>
    <w:rsid w:val="00EC247B"/>
    <w:rsid w:val="00ED65A0"/>
    <w:rsid w:val="00ED7CF0"/>
    <w:rsid w:val="00EF304E"/>
    <w:rsid w:val="00F0436F"/>
    <w:rsid w:val="00F115CF"/>
    <w:rsid w:val="00F13725"/>
    <w:rsid w:val="00F1527A"/>
    <w:rsid w:val="00F1665D"/>
    <w:rsid w:val="00F16E3C"/>
    <w:rsid w:val="00F24F70"/>
    <w:rsid w:val="00F32EEE"/>
    <w:rsid w:val="00F364EB"/>
    <w:rsid w:val="00F5403F"/>
    <w:rsid w:val="00F5415F"/>
    <w:rsid w:val="00F62131"/>
    <w:rsid w:val="00F67B4A"/>
    <w:rsid w:val="00F74695"/>
    <w:rsid w:val="00F873C6"/>
    <w:rsid w:val="00FA1A50"/>
    <w:rsid w:val="00FB2EA0"/>
    <w:rsid w:val="00FB73B6"/>
    <w:rsid w:val="00FC3180"/>
    <w:rsid w:val="00FC3A3A"/>
    <w:rsid w:val="00FD0DEF"/>
    <w:rsid w:val="00FD2218"/>
    <w:rsid w:val="00FF1E3D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4EB80C0"/>
  <w15:docId w15:val="{555986F5-31F4-4F27-AB33-1FF36771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6F"/>
  </w:style>
  <w:style w:type="paragraph" w:styleId="Footer">
    <w:name w:val="footer"/>
    <w:basedOn w:val="Normal"/>
    <w:link w:val="FooterChar"/>
    <w:uiPriority w:val="99"/>
    <w:unhideWhenUsed/>
    <w:rsid w:val="0005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6F"/>
  </w:style>
  <w:style w:type="paragraph" w:styleId="BalloonText">
    <w:name w:val="Balloon Text"/>
    <w:basedOn w:val="Normal"/>
    <w:link w:val="BalloonTextChar"/>
    <w:uiPriority w:val="99"/>
    <w:semiHidden/>
    <w:unhideWhenUsed/>
    <w:rsid w:val="0005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37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B5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8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D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0888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AF04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F04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04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4">
    <w:name w:val="Light Grid Accent 4"/>
    <w:basedOn w:val="TableNormal"/>
    <w:uiPriority w:val="62"/>
    <w:rsid w:val="00AF04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AF04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AF04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rsid w:val="00AF04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Shading2-Accent4">
    <w:name w:val="Medium Shading 2 Accent 4"/>
    <w:basedOn w:val="TableNormal"/>
    <w:uiPriority w:val="64"/>
    <w:rsid w:val="00AF04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AF04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AF04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F04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Shading-Accent4">
    <w:name w:val="Colorful Shading Accent 4"/>
    <w:basedOn w:val="TableNormal"/>
    <w:uiPriority w:val="71"/>
    <w:rsid w:val="00AF04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4">
    <w:name w:val="Colorful Grid Accent 4"/>
    <w:basedOn w:val="TableNormal"/>
    <w:uiPriority w:val="73"/>
    <w:rsid w:val="00AF04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3D6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AB9"/>
    <w:rPr>
      <w:vertAlign w:val="superscript"/>
    </w:rPr>
  </w:style>
  <w:style w:type="paragraph" w:styleId="Revision">
    <w:name w:val="Revision"/>
    <w:hidden/>
    <w:uiPriority w:val="99"/>
    <w:semiHidden/>
    <w:rsid w:val="0062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b.washington.edu/sites/default/files/opb/Budget/FY17-Administrative_Budget_Worksheets_%26_References.xlsx" TargetMode="External"/><Relationship Id="rId13" Type="http://schemas.openxmlformats.org/officeDocument/2006/relationships/hyperlink" Target="mailto:jbecka@uw.edu?subject=Previously%20submitted%20carryover%20spending%20pl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floit@uw.edu?subject=Previously%20submitted%20carryover%20spending%20pl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b.washington.edu/sites/default/files/opb/Budget/FY17-Administrative_Budget_Worksheets_%26_References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ap.uw.edu/about-tap/principles-central-administrative-uni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ecka@uw.edu?subject=FY17%20Budget%20Submiss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4B4-9031-40B2-94C8-388999F5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janis3</dc:creator>
  <cp:lastModifiedBy>Sarah N. Hall</cp:lastModifiedBy>
  <cp:revision>37</cp:revision>
  <cp:lastPrinted>2015-10-14T15:22:00Z</cp:lastPrinted>
  <dcterms:created xsi:type="dcterms:W3CDTF">2015-09-21T18:51:00Z</dcterms:created>
  <dcterms:modified xsi:type="dcterms:W3CDTF">2015-10-15T23:56:00Z</dcterms:modified>
</cp:coreProperties>
</file>