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30A4B" w14:textId="2C49AE13" w:rsidR="003502A9" w:rsidRDefault="00C73025">
      <w:pPr>
        <w:pStyle w:val="Title"/>
        <w:rPr>
          <w:sz w:val="23"/>
        </w:rPr>
      </w:pPr>
      <w:r>
        <w:rPr>
          <w:noProof/>
          <w:sz w:val="34"/>
        </w:rPr>
        <mc:AlternateContent>
          <mc:Choice Requires="wps">
            <w:drawing>
              <wp:anchor distT="0" distB="0" distL="114300" distR="114300" simplePos="0" relativeHeight="251657216" behindDoc="1" locked="1" layoutInCell="0" allowOverlap="1" wp14:anchorId="17905240" wp14:editId="4B30DAE0">
                <wp:simplePos x="0" y="0"/>
                <wp:positionH relativeFrom="margin">
                  <wp:posOffset>0</wp:posOffset>
                </wp:positionH>
                <wp:positionV relativeFrom="margin">
                  <wp:posOffset>0</wp:posOffset>
                </wp:positionV>
                <wp:extent cx="1023620" cy="10236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1023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A3D3E9" w14:textId="782BDC57" w:rsidR="003502A9" w:rsidRDefault="00C73025">
                            <w:pPr>
                              <w:widowControl w:val="0"/>
                              <w:pBdr>
                                <w:top w:val="single" w:sz="6" w:space="0" w:color="FFFFFF"/>
                                <w:left w:val="single" w:sz="6" w:space="0" w:color="FFFFFF"/>
                                <w:bottom w:val="single" w:sz="6" w:space="0" w:color="FFFFFF"/>
                                <w:right w:val="single" w:sz="6" w:space="0" w:color="FFFFFF"/>
                              </w:pBdr>
                              <w:rPr>
                                <w:rFonts w:ascii="Courier New" w:hAnsi="Courier New"/>
                                <w:sz w:val="23"/>
                              </w:rPr>
                            </w:pPr>
                            <w:r>
                              <w:rPr>
                                <w:rFonts w:ascii="Courier New" w:hAnsi="Courier New"/>
                                <w:noProof/>
                                <w:sz w:val="19"/>
                              </w:rPr>
                              <w:drawing>
                                <wp:inline distT="0" distB="0" distL="0" distR="0" wp14:anchorId="752DD08D" wp14:editId="3BEFC380">
                                  <wp:extent cx="1081405" cy="1033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2675" t="-519" r="-2675" b="-519"/>
                                          <a:stretch>
                                            <a:fillRect/>
                                          </a:stretch>
                                        </pic:blipFill>
                                        <pic:spPr bwMode="auto">
                                          <a:xfrm>
                                            <a:off x="0" y="0"/>
                                            <a:ext cx="1081405" cy="10337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05240" id="Rectangle 2" o:spid="_x0000_s1026" style="position:absolute;left:0;text-align:left;margin-left:0;margin-top:0;width:80.6pt;height:8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" o:allowincell="f" filled="f" stroked="f" strokeweight="0">
                <v:textbox inset="0,0,0,0">
                  <w:txbxContent>
                    <w:p w14:paraId="21A3D3E9" w14:textId="782BDC57" w:rsidR="003502A9" w:rsidRDefault="00C73025">
                      <w:pPr>
                        <w:widowControl w:val="0"/>
                        <w:pBdr>
                          <w:top w:val="single" w:sz="6" w:space="0" w:color="FFFFFF"/>
                          <w:left w:val="single" w:sz="6" w:space="0" w:color="FFFFFF"/>
                          <w:bottom w:val="single" w:sz="6" w:space="0" w:color="FFFFFF"/>
                          <w:right w:val="single" w:sz="6" w:space="0" w:color="FFFFFF"/>
                        </w:pBdr>
                        <w:rPr>
                          <w:rFonts w:ascii="Courier New" w:hAnsi="Courier New"/>
                          <w:sz w:val="23"/>
                        </w:rPr>
                      </w:pPr>
                      <w:r>
                        <w:rPr>
                          <w:rFonts w:ascii="Courier New" w:hAnsi="Courier New"/>
                          <w:noProof/>
                          <w:sz w:val="19"/>
                        </w:rPr>
                        <w:drawing>
                          <wp:inline distT="0" distB="0" distL="0" distR="0" wp14:anchorId="752DD08D" wp14:editId="3BEFC380">
                            <wp:extent cx="1081405" cy="1033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2675" t="-519" r="-2675" b="-519"/>
                                    <a:stretch>
                                      <a:fillRect/>
                                    </a:stretch>
                                  </pic:blipFill>
                                  <pic:spPr bwMode="auto">
                                    <a:xfrm>
                                      <a:off x="0" y="0"/>
                                      <a:ext cx="1081405" cy="1033780"/>
                                    </a:xfrm>
                                    <a:prstGeom prst="rect">
                                      <a:avLst/>
                                    </a:prstGeom>
                                    <a:noFill/>
                                    <a:ln>
                                      <a:noFill/>
                                    </a:ln>
                                  </pic:spPr>
                                </pic:pic>
                              </a:graphicData>
                            </a:graphic>
                          </wp:inline>
                        </w:drawing>
                      </w:r>
                    </w:p>
                  </w:txbxContent>
                </v:textbox>
                <w10:wrap anchorx="margin" anchory="margin"/>
                <w10:anchorlock/>
              </v:rect>
            </w:pict>
          </mc:Fallback>
        </mc:AlternateContent>
      </w:r>
      <w:r w:rsidR="003502A9">
        <w:rPr>
          <w:sz w:val="34"/>
        </w:rPr>
        <w:t>United States Department of the Interior</w:t>
      </w:r>
    </w:p>
    <w:p w14:paraId="155ED3B0" w14:textId="77777777" w:rsidR="003502A9" w:rsidRDefault="003502A9">
      <w:pPr>
        <w:widowControl w:val="0"/>
        <w:jc w:val="center"/>
        <w:rPr>
          <w:rFonts w:ascii="CG Times" w:hAnsi="CG Times"/>
          <w:sz w:val="17"/>
        </w:rPr>
      </w:pPr>
    </w:p>
    <w:p w14:paraId="71EBC4C0" w14:textId="77777777" w:rsidR="003502A9" w:rsidRDefault="003502A9">
      <w:pPr>
        <w:widowControl w:val="0"/>
        <w:jc w:val="center"/>
        <w:rPr>
          <w:rFonts w:ascii="CG Times" w:hAnsi="CG Times"/>
          <w:sz w:val="19"/>
        </w:rPr>
      </w:pPr>
      <w:r>
        <w:rPr>
          <w:rFonts w:ascii="CG Times" w:hAnsi="CG Times"/>
          <w:sz w:val="19"/>
        </w:rPr>
        <w:t>NATIONAL PARK SERVICE</w:t>
      </w:r>
    </w:p>
    <w:p w14:paraId="7CE7F454" w14:textId="77777777" w:rsidR="003502A9" w:rsidRDefault="004A4DAD">
      <w:pPr>
        <w:widowControl w:val="0"/>
        <w:jc w:val="center"/>
        <w:rPr>
          <w:rFonts w:ascii="CG Times" w:hAnsi="CG Times"/>
          <w:sz w:val="19"/>
        </w:rPr>
      </w:pPr>
      <w:r>
        <w:rPr>
          <w:rFonts w:ascii="CG Times" w:hAnsi="CG Times"/>
          <w:sz w:val="19"/>
        </w:rPr>
        <w:t>Northeast Regional Office</w:t>
      </w:r>
    </w:p>
    <w:p w14:paraId="69954102" w14:textId="70BDC8B1" w:rsidR="003502A9" w:rsidRDefault="00C73025">
      <w:pPr>
        <w:widowControl w:val="0"/>
        <w:jc w:val="center"/>
        <w:rPr>
          <w:rFonts w:ascii="CG Times" w:hAnsi="CG Times"/>
          <w:sz w:val="19"/>
        </w:rPr>
      </w:pPr>
      <w:r>
        <w:rPr>
          <w:noProof/>
        </w:rPr>
        <w:drawing>
          <wp:anchor distT="0" distB="0" distL="114300" distR="114300" simplePos="0" relativeHeight="251658240" behindDoc="1" locked="1" layoutInCell="1" allowOverlap="1" wp14:anchorId="16B01CBF" wp14:editId="74CCD2BE">
            <wp:simplePos x="0" y="0"/>
            <wp:positionH relativeFrom="column">
              <wp:posOffset>5069205</wp:posOffset>
            </wp:positionH>
            <wp:positionV relativeFrom="page">
              <wp:posOffset>55245</wp:posOffset>
            </wp:positionV>
            <wp:extent cx="812165" cy="1033145"/>
            <wp:effectExtent l="0" t="0" r="0" b="0"/>
            <wp:wrapNone/>
            <wp:docPr id="3" name="Picture 7" descr="n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ps_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2165"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sidR="004A4DAD">
        <w:rPr>
          <w:rFonts w:ascii="CG Times" w:hAnsi="CG Times"/>
          <w:sz w:val="19"/>
        </w:rPr>
        <w:t>1234 Market Street, 20</w:t>
      </w:r>
      <w:r w:rsidR="004A4DAD" w:rsidRPr="004A4DAD">
        <w:rPr>
          <w:rFonts w:ascii="CG Times" w:hAnsi="CG Times"/>
          <w:sz w:val="19"/>
          <w:vertAlign w:val="superscript"/>
        </w:rPr>
        <w:t>th</w:t>
      </w:r>
      <w:r w:rsidR="004A4DAD">
        <w:rPr>
          <w:rFonts w:ascii="CG Times" w:hAnsi="CG Times"/>
          <w:sz w:val="19"/>
        </w:rPr>
        <w:t xml:space="preserve"> Floor</w:t>
      </w:r>
    </w:p>
    <w:p w14:paraId="1DEBEBBB" w14:textId="77777777" w:rsidR="003502A9" w:rsidRDefault="004A4DAD">
      <w:pPr>
        <w:widowControl w:val="0"/>
        <w:jc w:val="center"/>
        <w:rPr>
          <w:rFonts w:ascii="CG Times" w:hAnsi="CG Times"/>
          <w:sz w:val="23"/>
        </w:rPr>
      </w:pPr>
      <w:r>
        <w:rPr>
          <w:rFonts w:ascii="CG Times" w:hAnsi="CG Times"/>
          <w:sz w:val="19"/>
        </w:rPr>
        <w:t>Philadelphia</w:t>
      </w:r>
      <w:r w:rsidR="00997FF5">
        <w:rPr>
          <w:rFonts w:ascii="CG Times" w:hAnsi="CG Times"/>
          <w:sz w:val="19"/>
        </w:rPr>
        <w:t xml:space="preserve">, </w:t>
      </w:r>
      <w:r>
        <w:rPr>
          <w:rFonts w:ascii="CG Times" w:hAnsi="CG Times"/>
          <w:sz w:val="19"/>
        </w:rPr>
        <w:t>P</w:t>
      </w:r>
      <w:r w:rsidR="00997FF5">
        <w:rPr>
          <w:rFonts w:ascii="CG Times" w:hAnsi="CG Times"/>
          <w:sz w:val="19"/>
        </w:rPr>
        <w:t xml:space="preserve">A </w:t>
      </w:r>
      <w:r>
        <w:rPr>
          <w:rFonts w:ascii="CG Times" w:hAnsi="CG Times"/>
          <w:sz w:val="19"/>
        </w:rPr>
        <w:t>19107</w:t>
      </w:r>
    </w:p>
    <w:p w14:paraId="7EBF1E07" w14:textId="77777777" w:rsidR="003502A9" w:rsidRDefault="003502A9">
      <w:pPr>
        <w:widowControl w:val="0"/>
        <w:ind w:left="-360" w:right="-360" w:firstLine="720"/>
        <w:jc w:val="both"/>
        <w:rPr>
          <w:rFonts w:ascii="CG Times" w:hAnsi="CG Times"/>
          <w:sz w:val="11"/>
        </w:rPr>
      </w:pPr>
    </w:p>
    <w:p w14:paraId="04EFDC1F" w14:textId="77777777" w:rsidR="003502A9" w:rsidRDefault="003502A9">
      <w:pPr>
        <w:widowControl w:val="0"/>
        <w:ind w:left="-360" w:right="-360" w:firstLine="720"/>
        <w:jc w:val="both"/>
        <w:rPr>
          <w:rFonts w:ascii="CG Times" w:hAnsi="CG Times"/>
          <w:sz w:val="11"/>
        </w:rPr>
      </w:pPr>
    </w:p>
    <w:p w14:paraId="00DC4232" w14:textId="77777777" w:rsidR="003502A9" w:rsidRDefault="003502A9">
      <w:pPr>
        <w:widowControl w:val="0"/>
        <w:ind w:left="-360" w:right="-360" w:firstLine="720"/>
        <w:jc w:val="both"/>
        <w:rPr>
          <w:rFonts w:ascii="CG Times" w:hAnsi="CG Times"/>
          <w:sz w:val="11"/>
        </w:rPr>
      </w:pPr>
    </w:p>
    <w:p w14:paraId="1CE41CBB" w14:textId="77777777" w:rsidR="003502A9" w:rsidRDefault="003502A9">
      <w:pPr>
        <w:widowControl w:val="0"/>
        <w:ind w:left="-360" w:right="-360" w:firstLine="720"/>
        <w:jc w:val="both"/>
        <w:rPr>
          <w:rFonts w:ascii="CG Times" w:hAnsi="CG Times"/>
          <w:sz w:val="11"/>
        </w:rPr>
      </w:pPr>
      <w:r>
        <w:rPr>
          <w:rFonts w:ascii="CG Times" w:hAnsi="CG Times"/>
          <w:sz w:val="11"/>
        </w:rPr>
        <w:t>IN REPLY REFER TO:</w:t>
      </w:r>
    </w:p>
    <w:p w14:paraId="55274A6B" w14:textId="77777777" w:rsidR="00573200" w:rsidRDefault="00573200" w:rsidP="00573200">
      <w:pPr>
        <w:widowControl w:val="0"/>
        <w:ind w:left="-360" w:right="-360" w:firstLine="720"/>
        <w:jc w:val="both"/>
        <w:rPr>
          <w:rFonts w:ascii="CG Times" w:eastAsia="CG Times" w:hAnsi="CG Times" w:cs="CG Times"/>
          <w:sz w:val="11"/>
          <w:szCs w:val="11"/>
        </w:rPr>
      </w:pPr>
      <w:r>
        <w:rPr>
          <w:rFonts w:ascii="CG Times" w:eastAsia="CG Times" w:hAnsi="CG Times" w:cs="CG Times"/>
          <w:sz w:val="11"/>
          <w:szCs w:val="11"/>
        </w:rPr>
        <w:t>1.C (NERO-CESU)</w:t>
      </w:r>
    </w:p>
    <w:p w14:paraId="03D29FE7" w14:textId="77777777" w:rsidR="00FF160F" w:rsidRPr="00FF160F" w:rsidRDefault="00FF160F" w:rsidP="00FF160F">
      <w:pPr>
        <w:rPr>
          <w:rFonts w:ascii="CG Times" w:hAnsi="CG Times"/>
          <w:sz w:val="11"/>
        </w:rPr>
      </w:pPr>
    </w:p>
    <w:p w14:paraId="424D19A4" w14:textId="77777777" w:rsidR="00FF160F" w:rsidRPr="00FF160F" w:rsidRDefault="00FF160F" w:rsidP="00FF160F">
      <w:pPr>
        <w:rPr>
          <w:rFonts w:ascii="CG Times" w:hAnsi="CG Times"/>
          <w:sz w:val="11"/>
        </w:rPr>
      </w:pPr>
    </w:p>
    <w:p w14:paraId="22DD6F50" w14:textId="77777777" w:rsidR="00FF160F" w:rsidRPr="00FF160F" w:rsidRDefault="00FF160F" w:rsidP="00FF160F">
      <w:pPr>
        <w:rPr>
          <w:rFonts w:ascii="CG Times" w:hAnsi="CG Times"/>
          <w:sz w:val="11"/>
        </w:rPr>
      </w:pPr>
    </w:p>
    <w:p w14:paraId="24041586" w14:textId="77777777" w:rsidR="00FF160F" w:rsidRPr="00FF160F" w:rsidRDefault="00FF160F" w:rsidP="00FF160F">
      <w:pPr>
        <w:rPr>
          <w:rFonts w:ascii="CG Times" w:hAnsi="CG Times"/>
          <w:sz w:val="11"/>
        </w:rPr>
      </w:pPr>
    </w:p>
    <w:p w14:paraId="4BBA77C4" w14:textId="77777777" w:rsidR="00FF160F" w:rsidRPr="00FF160F" w:rsidRDefault="00FF160F" w:rsidP="00FF160F">
      <w:pPr>
        <w:rPr>
          <w:rFonts w:ascii="CG Times" w:hAnsi="CG Times"/>
          <w:sz w:val="11"/>
        </w:rPr>
      </w:pPr>
    </w:p>
    <w:p w14:paraId="4B917BFC" w14:textId="77777777" w:rsidR="00D2724C" w:rsidRDefault="00D2724C" w:rsidP="003C2504">
      <w:pPr>
        <w:jc w:val="center"/>
        <w:rPr>
          <w:b/>
          <w:sz w:val="28"/>
          <w:szCs w:val="28"/>
        </w:rPr>
      </w:pPr>
      <w:r w:rsidRPr="003C2504">
        <w:rPr>
          <w:b/>
          <w:sz w:val="28"/>
          <w:szCs w:val="28"/>
        </w:rPr>
        <w:t>Request for Letters of Research Interest (LOI)</w:t>
      </w:r>
    </w:p>
    <w:p w14:paraId="274E4DF6" w14:textId="77777777" w:rsidR="003C2504" w:rsidRPr="003C2504" w:rsidRDefault="003C2504" w:rsidP="003C2504">
      <w:pPr>
        <w:jc w:val="center"/>
        <w:rPr>
          <w:b/>
          <w:sz w:val="28"/>
          <w:szCs w:val="28"/>
        </w:rPr>
      </w:pPr>
    </w:p>
    <w:p w14:paraId="0211A0ED" w14:textId="689DD967" w:rsidR="00D2724C" w:rsidRDefault="003C2504" w:rsidP="003C2504">
      <w:pPr>
        <w:jc w:val="center"/>
        <w:rPr>
          <w:b/>
          <w:sz w:val="24"/>
          <w:szCs w:val="24"/>
        </w:rPr>
      </w:pPr>
      <w:r>
        <w:rPr>
          <w:b/>
          <w:sz w:val="24"/>
          <w:szCs w:val="24"/>
        </w:rPr>
        <w:t xml:space="preserve">Project </w:t>
      </w:r>
      <w:r w:rsidR="00D2724C" w:rsidRPr="00E5067F">
        <w:rPr>
          <w:b/>
          <w:sz w:val="24"/>
          <w:szCs w:val="24"/>
        </w:rPr>
        <w:t xml:space="preserve">Title: </w:t>
      </w:r>
      <w:r w:rsidR="00573200">
        <w:rPr>
          <w:b/>
          <w:sz w:val="24"/>
          <w:szCs w:val="24"/>
        </w:rPr>
        <w:t>Natural Resource Condition Assessment for Katahdin Woods and Waters National Monument</w:t>
      </w:r>
    </w:p>
    <w:p w14:paraId="79574D4E" w14:textId="77777777" w:rsidR="00E5067F" w:rsidRPr="00E5067F" w:rsidRDefault="00E5067F" w:rsidP="00D2724C">
      <w:pPr>
        <w:rPr>
          <w:b/>
          <w:sz w:val="24"/>
          <w:szCs w:val="24"/>
        </w:rPr>
      </w:pPr>
    </w:p>
    <w:p w14:paraId="253DA5CC" w14:textId="77777777" w:rsidR="00FD07C5" w:rsidRPr="00FD07C5" w:rsidRDefault="00FD07C5" w:rsidP="001420DA">
      <w:pPr>
        <w:autoSpaceDE w:val="0"/>
        <w:autoSpaceDN w:val="0"/>
        <w:adjustRightInd w:val="0"/>
        <w:rPr>
          <w:b/>
          <w:bCs/>
          <w:sz w:val="24"/>
          <w:szCs w:val="24"/>
        </w:rPr>
      </w:pPr>
      <w:r w:rsidRPr="00FD07C5">
        <w:rPr>
          <w:b/>
          <w:bCs/>
          <w:sz w:val="24"/>
          <w:szCs w:val="24"/>
        </w:rPr>
        <w:t>Background</w:t>
      </w:r>
    </w:p>
    <w:p w14:paraId="5CD371E4" w14:textId="05798D98" w:rsidR="00573200" w:rsidRPr="00573200" w:rsidRDefault="00573200" w:rsidP="00573200">
      <w:pPr>
        <w:rPr>
          <w:sz w:val="24"/>
          <w:szCs w:val="24"/>
        </w:rPr>
      </w:pPr>
      <w:r w:rsidRPr="00573200">
        <w:rPr>
          <w:sz w:val="24"/>
          <w:szCs w:val="24"/>
        </w:rPr>
        <w:t xml:space="preserve">This project will provide the National Park Service (NPS) with </w:t>
      </w:r>
      <w:r>
        <w:rPr>
          <w:sz w:val="24"/>
          <w:szCs w:val="24"/>
        </w:rPr>
        <w:t xml:space="preserve">a </w:t>
      </w:r>
      <w:r w:rsidRPr="00573200">
        <w:rPr>
          <w:sz w:val="24"/>
          <w:szCs w:val="24"/>
        </w:rPr>
        <w:t xml:space="preserve">Natural Resource Condition Assessment (NRCA) </w:t>
      </w:r>
      <w:r>
        <w:rPr>
          <w:sz w:val="24"/>
          <w:szCs w:val="24"/>
        </w:rPr>
        <w:t>of Katahdin Woods and Waters National Monument</w:t>
      </w:r>
      <w:r w:rsidRPr="00573200">
        <w:rPr>
          <w:sz w:val="24"/>
          <w:szCs w:val="24"/>
        </w:rPr>
        <w:t xml:space="preserve"> (</w:t>
      </w:r>
      <w:r>
        <w:rPr>
          <w:sz w:val="24"/>
          <w:szCs w:val="24"/>
        </w:rPr>
        <w:t>KAWW</w:t>
      </w:r>
      <w:r w:rsidRPr="00573200">
        <w:rPr>
          <w:sz w:val="24"/>
          <w:szCs w:val="24"/>
        </w:rPr>
        <w:t xml:space="preserve">; Attachment 1). NRCAs rely on existing data and expertise from a variety of NPS and non-NPS sources to provide a snapshot-in-time evaluation of resource conditions for a subset of important park natural resources and indicators. As with all other NPS NRCAs, the current project will be multidisciplinary (ecological) in scope, employ hierarchical indicator frameworks, identify or develop logical reference conditions/values to compare current condition data against, emphasize spatial evaluation of conditions and geospatial map products, summarize key findings at the park or park area (e.g., watershed boundary) levels, and follow national NRCA guidelines and standards for study design and reporting products. NRCA project guidelines and standards are posted at: </w:t>
      </w:r>
      <w:hyperlink r:id="rId14" w:history="1">
        <w:r w:rsidR="00B41103" w:rsidRPr="00731B0D">
          <w:rPr>
            <w:rStyle w:val="Hyperlink"/>
            <w:sz w:val="24"/>
            <w:szCs w:val="24"/>
          </w:rPr>
          <w:t>https://www.nps.gov/subjects/science/upload/NRCA-Development-Guide_2023.docx</w:t>
        </w:r>
      </w:hyperlink>
      <w:r w:rsidR="00B41103">
        <w:rPr>
          <w:sz w:val="24"/>
          <w:szCs w:val="24"/>
        </w:rPr>
        <w:t xml:space="preserve">. </w:t>
      </w:r>
      <w:r w:rsidR="007D1147">
        <w:rPr>
          <w:sz w:val="24"/>
          <w:szCs w:val="24"/>
        </w:rPr>
        <w:t xml:space="preserve">Additional information about the program, including past NRCA projects are available at: </w:t>
      </w:r>
      <w:hyperlink r:id="rId15" w:history="1">
        <w:r w:rsidR="007D1147" w:rsidRPr="00731B0D">
          <w:rPr>
            <w:rStyle w:val="Hyperlink"/>
            <w:sz w:val="24"/>
            <w:szCs w:val="24"/>
          </w:rPr>
          <w:t>https://www.nps.gov/subjects/science/nrca.htm</w:t>
        </w:r>
      </w:hyperlink>
      <w:r w:rsidR="007D1147">
        <w:rPr>
          <w:sz w:val="24"/>
          <w:szCs w:val="24"/>
        </w:rPr>
        <w:t xml:space="preserve">. </w:t>
      </w:r>
      <w:r w:rsidR="00FD1EC7">
        <w:rPr>
          <w:sz w:val="24"/>
          <w:szCs w:val="24"/>
        </w:rPr>
        <w:t xml:space="preserve">The </w:t>
      </w:r>
      <w:hyperlink r:id="rId16" w:history="1">
        <w:r w:rsidR="00FD1EC7" w:rsidRPr="00FD1EC7">
          <w:rPr>
            <w:rStyle w:val="Hyperlink"/>
            <w:sz w:val="24"/>
            <w:szCs w:val="24"/>
          </w:rPr>
          <w:t>Fort Pulaski NRCA</w:t>
        </w:r>
      </w:hyperlink>
      <w:r w:rsidR="00FD1EC7">
        <w:rPr>
          <w:sz w:val="24"/>
          <w:szCs w:val="24"/>
        </w:rPr>
        <w:t xml:space="preserve"> is a good example of a recent project that was completed using the current guidance. </w:t>
      </w:r>
    </w:p>
    <w:p w14:paraId="36C51A96" w14:textId="77777777" w:rsidR="00573200" w:rsidRPr="00573200" w:rsidRDefault="00573200" w:rsidP="00573200">
      <w:pPr>
        <w:rPr>
          <w:sz w:val="24"/>
          <w:szCs w:val="24"/>
        </w:rPr>
      </w:pPr>
    </w:p>
    <w:p w14:paraId="4299AF67" w14:textId="022F37CC" w:rsidR="00573200" w:rsidRPr="00573200" w:rsidRDefault="00573200" w:rsidP="00573200">
      <w:pPr>
        <w:rPr>
          <w:sz w:val="24"/>
          <w:szCs w:val="24"/>
        </w:rPr>
      </w:pPr>
      <w:r w:rsidRPr="00573200">
        <w:rPr>
          <w:sz w:val="24"/>
          <w:szCs w:val="24"/>
        </w:rPr>
        <w:t>NRCA deliverables will include a written report and geographic information system (GIS) data layers in park</w:t>
      </w:r>
      <w:r w:rsidR="00B41103">
        <w:rPr>
          <w:sz w:val="24"/>
          <w:szCs w:val="24"/>
        </w:rPr>
        <w:t>-</w:t>
      </w:r>
      <w:r w:rsidRPr="00573200">
        <w:rPr>
          <w:sz w:val="24"/>
          <w:szCs w:val="24"/>
        </w:rPr>
        <w:t>specific geodatabase format. Reports will be published in the Resource Report (RR) series</w:t>
      </w:r>
      <w:r w:rsidR="007D1147">
        <w:rPr>
          <w:sz w:val="24"/>
          <w:szCs w:val="24"/>
        </w:rPr>
        <w:t>. N</w:t>
      </w:r>
      <w:r w:rsidR="00AB4A98">
        <w:rPr>
          <w:sz w:val="24"/>
          <w:szCs w:val="24"/>
        </w:rPr>
        <w:t>ote that the NRCA project guidelines refer to an older Natural Resource Report series</w:t>
      </w:r>
      <w:r w:rsidR="007D1147">
        <w:rPr>
          <w:sz w:val="24"/>
          <w:szCs w:val="24"/>
        </w:rPr>
        <w:t xml:space="preserve"> that is being phased out</w:t>
      </w:r>
      <w:r w:rsidR="00AB4A98">
        <w:rPr>
          <w:sz w:val="24"/>
          <w:szCs w:val="24"/>
        </w:rPr>
        <w:t>; this project will use the new Resource Report ser</w:t>
      </w:r>
      <w:r w:rsidR="007D1147">
        <w:rPr>
          <w:sz w:val="24"/>
          <w:szCs w:val="24"/>
        </w:rPr>
        <w:t>ies</w:t>
      </w:r>
      <w:r w:rsidRPr="00573200">
        <w:rPr>
          <w:sz w:val="24"/>
          <w:szCs w:val="24"/>
        </w:rPr>
        <w:t xml:space="preserve">. </w:t>
      </w:r>
      <w:r w:rsidR="00B41103">
        <w:rPr>
          <w:sz w:val="24"/>
          <w:szCs w:val="24"/>
        </w:rPr>
        <w:t>The author template for the report series is posted on the NPS DataStore</w:t>
      </w:r>
      <w:r w:rsidRPr="00573200">
        <w:rPr>
          <w:sz w:val="24"/>
          <w:szCs w:val="24"/>
        </w:rPr>
        <w:t>:</w:t>
      </w:r>
      <w:r w:rsidR="00B41103">
        <w:rPr>
          <w:sz w:val="24"/>
          <w:szCs w:val="24"/>
        </w:rPr>
        <w:t xml:space="preserve"> </w:t>
      </w:r>
      <w:hyperlink r:id="rId17" w:history="1">
        <w:r w:rsidR="00B41103" w:rsidRPr="00731B0D">
          <w:rPr>
            <w:rStyle w:val="Hyperlink"/>
            <w:sz w:val="24"/>
            <w:szCs w:val="24"/>
          </w:rPr>
          <w:t>https://irma.nps.gov/DataStore/Reference/Profile/2301194</w:t>
        </w:r>
      </w:hyperlink>
      <w:r w:rsidRPr="00573200">
        <w:rPr>
          <w:sz w:val="24"/>
          <w:szCs w:val="24"/>
        </w:rPr>
        <w:t>.</w:t>
      </w:r>
      <w:r w:rsidR="00B41103">
        <w:rPr>
          <w:sz w:val="24"/>
          <w:szCs w:val="24"/>
        </w:rPr>
        <w:t xml:space="preserve"> </w:t>
      </w:r>
      <w:r w:rsidRPr="00573200">
        <w:rPr>
          <w:sz w:val="24"/>
          <w:szCs w:val="24"/>
        </w:rPr>
        <w:t xml:space="preserve">The </w:t>
      </w:r>
      <w:r w:rsidR="00B41103">
        <w:rPr>
          <w:sz w:val="24"/>
          <w:szCs w:val="24"/>
        </w:rPr>
        <w:t>KAWW</w:t>
      </w:r>
      <w:r w:rsidRPr="00573200">
        <w:rPr>
          <w:sz w:val="24"/>
          <w:szCs w:val="24"/>
        </w:rPr>
        <w:t xml:space="preserve"> superintendent and resource manager are the primary target audience for the assessment report. Technical experts are the targeted audience for supporting documentation in report appendices and supplementary datasets and databases.</w:t>
      </w:r>
    </w:p>
    <w:p w14:paraId="663C5C29" w14:textId="77777777" w:rsidR="00F354EB" w:rsidRDefault="00F354EB" w:rsidP="001420DA">
      <w:pPr>
        <w:autoSpaceDE w:val="0"/>
        <w:autoSpaceDN w:val="0"/>
        <w:adjustRightInd w:val="0"/>
        <w:rPr>
          <w:sz w:val="24"/>
          <w:szCs w:val="24"/>
        </w:rPr>
      </w:pPr>
    </w:p>
    <w:p w14:paraId="34A876B9" w14:textId="36F8D571" w:rsidR="00FD07C5" w:rsidRPr="00FD07C5" w:rsidRDefault="00FD07C5" w:rsidP="001420DA">
      <w:pPr>
        <w:autoSpaceDE w:val="0"/>
        <w:autoSpaceDN w:val="0"/>
        <w:adjustRightInd w:val="0"/>
        <w:rPr>
          <w:b/>
          <w:bCs/>
          <w:sz w:val="24"/>
          <w:szCs w:val="24"/>
        </w:rPr>
      </w:pPr>
      <w:r w:rsidRPr="00FD07C5">
        <w:rPr>
          <w:b/>
          <w:bCs/>
          <w:sz w:val="24"/>
          <w:szCs w:val="24"/>
        </w:rPr>
        <w:t>Objectives</w:t>
      </w:r>
      <w:r w:rsidR="00612237">
        <w:rPr>
          <w:b/>
          <w:bCs/>
          <w:sz w:val="24"/>
          <w:szCs w:val="24"/>
        </w:rPr>
        <w:t xml:space="preserve"> and </w:t>
      </w:r>
      <w:r w:rsidR="00AB4A98">
        <w:rPr>
          <w:b/>
          <w:bCs/>
          <w:sz w:val="24"/>
          <w:szCs w:val="24"/>
        </w:rPr>
        <w:t>Tasks</w:t>
      </w:r>
    </w:p>
    <w:p w14:paraId="5C411F12" w14:textId="79953806" w:rsidR="00AB4A98" w:rsidRPr="00AB4A98" w:rsidRDefault="00AB4A98" w:rsidP="00AB4A98">
      <w:pPr>
        <w:autoSpaceDE w:val="0"/>
        <w:autoSpaceDN w:val="0"/>
        <w:adjustRightInd w:val="0"/>
        <w:rPr>
          <w:sz w:val="24"/>
          <w:szCs w:val="24"/>
        </w:rPr>
      </w:pPr>
      <w:r w:rsidRPr="00AB4A98">
        <w:rPr>
          <w:sz w:val="24"/>
          <w:szCs w:val="24"/>
        </w:rPr>
        <w:t xml:space="preserve">Using existing data, NRCAs evaluate and report on current conditions, condition trends, critical data gaps, and selected resource condition influences for a subset of </w:t>
      </w:r>
      <w:r>
        <w:rPr>
          <w:sz w:val="24"/>
          <w:szCs w:val="24"/>
        </w:rPr>
        <w:t>the</w:t>
      </w:r>
      <w:r w:rsidRPr="00AB4A98">
        <w:rPr>
          <w:sz w:val="24"/>
          <w:szCs w:val="24"/>
        </w:rPr>
        <w:t xml:space="preserve"> park’s most important natural resources. The project will deliver credible science-based information that is relevant and useful to park managers for strategic planning and decision-making purposes. Project findings will also help parks report to government ‘resource condition status’ accountability measures.</w:t>
      </w:r>
    </w:p>
    <w:p w14:paraId="4951D4D9" w14:textId="77777777" w:rsidR="00AB4A98" w:rsidRPr="00AB4A98" w:rsidRDefault="00AB4A98" w:rsidP="00AB4A98">
      <w:pPr>
        <w:autoSpaceDE w:val="0"/>
        <w:autoSpaceDN w:val="0"/>
        <w:adjustRightInd w:val="0"/>
        <w:rPr>
          <w:sz w:val="24"/>
          <w:szCs w:val="24"/>
        </w:rPr>
      </w:pPr>
    </w:p>
    <w:p w14:paraId="2EB282DC" w14:textId="62E59573" w:rsidR="00CC777D" w:rsidRPr="00CC777D" w:rsidRDefault="00CC777D" w:rsidP="00CC777D">
      <w:pPr>
        <w:autoSpaceDE w:val="0"/>
        <w:autoSpaceDN w:val="0"/>
        <w:adjustRightInd w:val="0"/>
        <w:rPr>
          <w:sz w:val="24"/>
          <w:szCs w:val="24"/>
        </w:rPr>
      </w:pPr>
      <w:r w:rsidRPr="00CC777D">
        <w:rPr>
          <w:sz w:val="24"/>
          <w:szCs w:val="24"/>
        </w:rPr>
        <w:lastRenderedPageBreak/>
        <w:t>Based on the Study Plan to be developed</w:t>
      </w:r>
      <w:r>
        <w:rPr>
          <w:sz w:val="24"/>
          <w:szCs w:val="24"/>
        </w:rPr>
        <w:t xml:space="preserve"> at the start of the project</w:t>
      </w:r>
      <w:r w:rsidRPr="00CC777D">
        <w:rPr>
          <w:sz w:val="24"/>
          <w:szCs w:val="24"/>
        </w:rPr>
        <w:t>, the P</w:t>
      </w:r>
      <w:r>
        <w:rPr>
          <w:sz w:val="24"/>
          <w:szCs w:val="24"/>
        </w:rPr>
        <w:t xml:space="preserve">rincipal </w:t>
      </w:r>
      <w:r w:rsidRPr="00CC777D">
        <w:rPr>
          <w:sz w:val="24"/>
          <w:szCs w:val="24"/>
        </w:rPr>
        <w:t>I</w:t>
      </w:r>
      <w:r>
        <w:rPr>
          <w:sz w:val="24"/>
          <w:szCs w:val="24"/>
        </w:rPr>
        <w:t>nvestigator (PI)</w:t>
      </w:r>
      <w:r w:rsidRPr="00CC777D">
        <w:rPr>
          <w:sz w:val="24"/>
          <w:szCs w:val="24"/>
        </w:rPr>
        <w:t xml:space="preserve"> shall</w:t>
      </w:r>
      <w:r w:rsidR="00127149">
        <w:rPr>
          <w:sz w:val="24"/>
          <w:szCs w:val="24"/>
        </w:rPr>
        <w:t xml:space="preserve"> follow the </w:t>
      </w:r>
      <w:hyperlink r:id="rId18" w:history="1">
        <w:r w:rsidR="00127149" w:rsidRPr="00127149">
          <w:rPr>
            <w:rStyle w:val="Hyperlink"/>
            <w:sz w:val="24"/>
            <w:szCs w:val="24"/>
          </w:rPr>
          <w:t>NRCA project guidelines</w:t>
        </w:r>
      </w:hyperlink>
      <w:r w:rsidR="00127149">
        <w:rPr>
          <w:sz w:val="24"/>
          <w:szCs w:val="24"/>
        </w:rPr>
        <w:t xml:space="preserve"> and</w:t>
      </w:r>
      <w:r w:rsidRPr="00CC777D">
        <w:rPr>
          <w:sz w:val="24"/>
          <w:szCs w:val="24"/>
        </w:rPr>
        <w:t>:</w:t>
      </w:r>
    </w:p>
    <w:p w14:paraId="11530313" w14:textId="77777777" w:rsidR="00CC777D" w:rsidRPr="00CC777D" w:rsidRDefault="00CC777D" w:rsidP="00CC777D">
      <w:pPr>
        <w:autoSpaceDE w:val="0"/>
        <w:autoSpaceDN w:val="0"/>
        <w:adjustRightInd w:val="0"/>
        <w:rPr>
          <w:sz w:val="24"/>
          <w:szCs w:val="24"/>
        </w:rPr>
      </w:pPr>
      <w:r w:rsidRPr="00CC777D">
        <w:rPr>
          <w:sz w:val="24"/>
          <w:szCs w:val="24"/>
        </w:rPr>
        <w:t xml:space="preserve"> </w:t>
      </w:r>
    </w:p>
    <w:p w14:paraId="5BAFADB1" w14:textId="77777777" w:rsidR="00CC777D" w:rsidRPr="00CC777D" w:rsidRDefault="00CC777D" w:rsidP="00F67A5A">
      <w:pPr>
        <w:pStyle w:val="ListParagraph"/>
        <w:numPr>
          <w:ilvl w:val="0"/>
          <w:numId w:val="17"/>
        </w:numPr>
        <w:autoSpaceDE w:val="0"/>
        <w:autoSpaceDN w:val="0"/>
        <w:adjustRightInd w:val="0"/>
        <w:rPr>
          <w:rFonts w:ascii="Calibri" w:hAnsi="Calibri"/>
          <w:szCs w:val="24"/>
        </w:rPr>
      </w:pPr>
      <w:r w:rsidRPr="00CC777D">
        <w:rPr>
          <w:szCs w:val="24"/>
        </w:rPr>
        <w:t>Identify and review existing sources of scientific data and information useful for evaluating resource condition status and resource condition influences (threats, stressors) as they pertain to natural resources in park-managed watersheds and habitats (both terrestrial and aquatic resource environments). The park has tentatively identified the bird community, forest vegetation, stream water quality, and T&amp;E species as the highest priority resources to include in the NRCA. The NPS does not have long-term monitoring implemented at the park, but there have been several research projects in the park since establishment and park staff have compiled an initial list of potential data sources.  The PI will build upon what has already been accomplished and identify and compile any new or other undocumented sources of data. This project will not have a field data collection component, though there will be a considerable data mining component.</w:t>
      </w:r>
    </w:p>
    <w:p w14:paraId="3831B5E3" w14:textId="77777777" w:rsidR="00CC777D" w:rsidRPr="00CC777D" w:rsidRDefault="00CC777D" w:rsidP="00F67A5A">
      <w:pPr>
        <w:pStyle w:val="ListParagraph"/>
        <w:numPr>
          <w:ilvl w:val="0"/>
          <w:numId w:val="17"/>
        </w:numPr>
        <w:autoSpaceDE w:val="0"/>
        <w:autoSpaceDN w:val="0"/>
        <w:adjustRightInd w:val="0"/>
        <w:rPr>
          <w:rFonts w:ascii="Calibri" w:hAnsi="Calibri"/>
          <w:szCs w:val="24"/>
        </w:rPr>
      </w:pPr>
      <w:r w:rsidRPr="00CC777D">
        <w:rPr>
          <w:szCs w:val="24"/>
        </w:rPr>
        <w:t>In collaboration with NPS, determine the subset of NPS-identified and PI-identified data and information sources that will be most pertinent and useful to the project, and compile those materials into the formats needed for project-related analyses.</w:t>
      </w:r>
    </w:p>
    <w:p w14:paraId="0FC86060" w14:textId="77777777" w:rsidR="00CC777D" w:rsidRPr="00CC777D" w:rsidRDefault="00CC777D" w:rsidP="00F67A5A">
      <w:pPr>
        <w:pStyle w:val="ListParagraph"/>
        <w:numPr>
          <w:ilvl w:val="0"/>
          <w:numId w:val="17"/>
        </w:numPr>
        <w:autoSpaceDE w:val="0"/>
        <w:autoSpaceDN w:val="0"/>
        <w:adjustRightInd w:val="0"/>
        <w:rPr>
          <w:rFonts w:ascii="Calibri" w:hAnsi="Calibri"/>
          <w:szCs w:val="24"/>
        </w:rPr>
      </w:pPr>
      <w:r w:rsidRPr="00CC777D">
        <w:rPr>
          <w:szCs w:val="24"/>
        </w:rPr>
        <w:t>In collaboration with NPS, identify a suite of measures that can be used to assess natural resource conditions (and stressors that might affect those conditions), summarize existing data for those measures, and determine or identify scientifically valid and repeatable reference conditions or assessment thresholds.</w:t>
      </w:r>
    </w:p>
    <w:p w14:paraId="16B9292B" w14:textId="76AEA18E" w:rsidR="00AB4A98" w:rsidRPr="00CC777D" w:rsidRDefault="00CC777D" w:rsidP="00F67A5A">
      <w:pPr>
        <w:pStyle w:val="ListParagraph"/>
        <w:numPr>
          <w:ilvl w:val="0"/>
          <w:numId w:val="17"/>
        </w:numPr>
        <w:autoSpaceDE w:val="0"/>
        <w:autoSpaceDN w:val="0"/>
        <w:adjustRightInd w:val="0"/>
        <w:rPr>
          <w:szCs w:val="24"/>
        </w:rPr>
      </w:pPr>
      <w:r w:rsidRPr="00CC777D">
        <w:rPr>
          <w:szCs w:val="24"/>
        </w:rPr>
        <w:t xml:space="preserve">Provide a multi-disciplinary (integrative) synthesis of the resource data and information to inform NPS about scientific significance, functional status, and current and emerging challenges associated with park-managed watershed resources and habitats. The synthesis must incorporate a strong geospatial component and result in both a written report and geospatial database for </w:t>
      </w:r>
      <w:r>
        <w:rPr>
          <w:szCs w:val="24"/>
        </w:rPr>
        <w:t>the</w:t>
      </w:r>
      <w:r w:rsidRPr="00CC777D">
        <w:rPr>
          <w:szCs w:val="24"/>
        </w:rPr>
        <w:t xml:space="preserve"> park. During the course of the project, the PI and NPS will participate in periodic in-person and teleconference meetings to get NPS input and review for PI-developed draft products and findings, and to communicate study progress to the regional NRCA program coordinator and park resource manager.</w:t>
      </w:r>
    </w:p>
    <w:p w14:paraId="3563E159" w14:textId="77777777" w:rsidR="00CC777D" w:rsidRDefault="00CC777D" w:rsidP="00CC777D">
      <w:pPr>
        <w:autoSpaceDE w:val="0"/>
        <w:autoSpaceDN w:val="0"/>
        <w:adjustRightInd w:val="0"/>
        <w:rPr>
          <w:sz w:val="24"/>
          <w:szCs w:val="24"/>
        </w:rPr>
      </w:pPr>
    </w:p>
    <w:p w14:paraId="34CDE653" w14:textId="77777777" w:rsidR="00EF6102" w:rsidRPr="00612237" w:rsidRDefault="00612237" w:rsidP="001420DA">
      <w:pPr>
        <w:autoSpaceDE w:val="0"/>
        <w:autoSpaceDN w:val="0"/>
        <w:adjustRightInd w:val="0"/>
        <w:rPr>
          <w:b/>
          <w:bCs/>
          <w:sz w:val="24"/>
          <w:szCs w:val="24"/>
        </w:rPr>
      </w:pPr>
      <w:r w:rsidRPr="00612237">
        <w:rPr>
          <w:b/>
          <w:bCs/>
          <w:sz w:val="24"/>
          <w:szCs w:val="24"/>
        </w:rPr>
        <w:t>Project Timeline</w:t>
      </w:r>
    </w:p>
    <w:p w14:paraId="5A09BF57" w14:textId="7AAEE04B" w:rsidR="001420DA" w:rsidRDefault="00573200" w:rsidP="001420DA">
      <w:pPr>
        <w:autoSpaceDE w:val="0"/>
        <w:autoSpaceDN w:val="0"/>
        <w:adjustRightInd w:val="0"/>
        <w:rPr>
          <w:sz w:val="24"/>
          <w:szCs w:val="24"/>
        </w:rPr>
      </w:pPr>
      <w:r>
        <w:rPr>
          <w:sz w:val="24"/>
          <w:szCs w:val="24"/>
        </w:rPr>
        <w:t xml:space="preserve">The deadline for responding to this request for LOI is </w:t>
      </w:r>
      <w:r w:rsidR="00F67A5A">
        <w:rPr>
          <w:sz w:val="24"/>
          <w:szCs w:val="24"/>
        </w:rPr>
        <w:t xml:space="preserve">January </w:t>
      </w:r>
      <w:r w:rsidR="006F3B3F">
        <w:rPr>
          <w:sz w:val="24"/>
          <w:szCs w:val="24"/>
        </w:rPr>
        <w:t>1</w:t>
      </w:r>
      <w:r w:rsidR="00AF0A90">
        <w:rPr>
          <w:sz w:val="24"/>
          <w:szCs w:val="24"/>
        </w:rPr>
        <w:t>9</w:t>
      </w:r>
      <w:r>
        <w:rPr>
          <w:sz w:val="24"/>
          <w:szCs w:val="24"/>
        </w:rPr>
        <w:t xml:space="preserve">, </w:t>
      </w:r>
      <w:r w:rsidR="006F3B3F">
        <w:rPr>
          <w:sz w:val="24"/>
          <w:szCs w:val="24"/>
        </w:rPr>
        <w:t>2024</w:t>
      </w:r>
      <w:r>
        <w:rPr>
          <w:sz w:val="24"/>
          <w:szCs w:val="24"/>
        </w:rPr>
        <w:t xml:space="preserve">. </w:t>
      </w:r>
      <w:r w:rsidR="00F67A5A">
        <w:rPr>
          <w:sz w:val="24"/>
          <w:szCs w:val="24"/>
        </w:rPr>
        <w:t>The f</w:t>
      </w:r>
      <w:r w:rsidR="00612237">
        <w:rPr>
          <w:sz w:val="24"/>
          <w:szCs w:val="24"/>
        </w:rPr>
        <w:t xml:space="preserve">unding decision for a start in </w:t>
      </w:r>
      <w:r w:rsidR="00F67A5A">
        <w:rPr>
          <w:sz w:val="24"/>
          <w:szCs w:val="24"/>
        </w:rPr>
        <w:t>late summer 2024</w:t>
      </w:r>
      <w:r w:rsidR="00612237">
        <w:rPr>
          <w:sz w:val="24"/>
          <w:szCs w:val="24"/>
        </w:rPr>
        <w:t xml:space="preserve"> will be announced by </w:t>
      </w:r>
      <w:r w:rsidR="00F67A5A">
        <w:rPr>
          <w:sz w:val="24"/>
          <w:szCs w:val="24"/>
        </w:rPr>
        <w:t>February 16, 2024</w:t>
      </w:r>
      <w:r w:rsidR="00612237">
        <w:rPr>
          <w:sz w:val="24"/>
          <w:szCs w:val="24"/>
        </w:rPr>
        <w:t xml:space="preserve">. </w:t>
      </w:r>
      <w:r w:rsidR="00F67A5A">
        <w:rPr>
          <w:sz w:val="24"/>
          <w:szCs w:val="24"/>
        </w:rPr>
        <w:t>A cooperative agreement will be put in place by September 13, 2024. T</w:t>
      </w:r>
      <w:r w:rsidR="00612237">
        <w:rPr>
          <w:sz w:val="24"/>
          <w:szCs w:val="24"/>
        </w:rPr>
        <w:t xml:space="preserve">he project is </w:t>
      </w:r>
      <w:r w:rsidR="00F9530E">
        <w:rPr>
          <w:sz w:val="24"/>
          <w:szCs w:val="24"/>
        </w:rPr>
        <w:t>expected</w:t>
      </w:r>
      <w:r w:rsidR="00612237">
        <w:rPr>
          <w:sz w:val="24"/>
          <w:szCs w:val="24"/>
        </w:rPr>
        <w:t xml:space="preserve"> to </w:t>
      </w:r>
      <w:r w:rsidR="00F9530E">
        <w:rPr>
          <w:sz w:val="24"/>
          <w:szCs w:val="24"/>
        </w:rPr>
        <w:t>take two years</w:t>
      </w:r>
      <w:r w:rsidR="00F67A5A">
        <w:rPr>
          <w:sz w:val="24"/>
          <w:szCs w:val="24"/>
        </w:rPr>
        <w:t xml:space="preserve"> to complete</w:t>
      </w:r>
      <w:r w:rsidR="00F9530E">
        <w:rPr>
          <w:sz w:val="24"/>
          <w:szCs w:val="24"/>
        </w:rPr>
        <w:t xml:space="preserve">. </w:t>
      </w:r>
    </w:p>
    <w:p w14:paraId="42FE477E" w14:textId="77777777" w:rsidR="00D2724C" w:rsidRPr="005205A0" w:rsidRDefault="00D2724C" w:rsidP="00D2724C">
      <w:pPr>
        <w:rPr>
          <w:b/>
          <w:sz w:val="24"/>
          <w:szCs w:val="24"/>
        </w:rPr>
      </w:pPr>
    </w:p>
    <w:p w14:paraId="30099347" w14:textId="77777777" w:rsidR="00D2724C" w:rsidRPr="005205A0" w:rsidRDefault="00D2724C" w:rsidP="00D2724C">
      <w:pPr>
        <w:rPr>
          <w:b/>
          <w:sz w:val="24"/>
          <w:szCs w:val="24"/>
        </w:rPr>
      </w:pPr>
      <w:r w:rsidRPr="00873EB0">
        <w:rPr>
          <w:b/>
          <w:sz w:val="24"/>
          <w:szCs w:val="24"/>
        </w:rPr>
        <w:t>Funds Available</w:t>
      </w:r>
    </w:p>
    <w:p w14:paraId="7A63D0D9" w14:textId="25B61689" w:rsidR="00D2724C" w:rsidRPr="005205A0" w:rsidRDefault="00F67A5A" w:rsidP="00D2724C">
      <w:pPr>
        <w:rPr>
          <w:sz w:val="24"/>
          <w:szCs w:val="24"/>
        </w:rPr>
      </w:pPr>
      <w:r>
        <w:rPr>
          <w:sz w:val="24"/>
          <w:szCs w:val="24"/>
        </w:rPr>
        <w:t>NPS has $</w:t>
      </w:r>
      <w:r w:rsidR="00F9530E">
        <w:rPr>
          <w:sz w:val="24"/>
          <w:szCs w:val="24"/>
        </w:rPr>
        <w:t>50,000</w:t>
      </w:r>
      <w:r w:rsidR="00201F02">
        <w:rPr>
          <w:sz w:val="24"/>
          <w:szCs w:val="24"/>
        </w:rPr>
        <w:t xml:space="preserve"> – $75,000</w:t>
      </w:r>
      <w:r w:rsidR="00F9530E">
        <w:rPr>
          <w:sz w:val="24"/>
          <w:szCs w:val="24"/>
        </w:rPr>
        <w:t xml:space="preserve"> </w:t>
      </w:r>
      <w:r>
        <w:rPr>
          <w:sz w:val="24"/>
          <w:szCs w:val="24"/>
        </w:rPr>
        <w:t xml:space="preserve">available </w:t>
      </w:r>
      <w:r w:rsidR="00F9530E">
        <w:rPr>
          <w:sz w:val="24"/>
          <w:szCs w:val="24"/>
        </w:rPr>
        <w:t>for this project</w:t>
      </w:r>
      <w:r w:rsidR="00A15EFE">
        <w:rPr>
          <w:sz w:val="24"/>
          <w:szCs w:val="24"/>
        </w:rPr>
        <w:t>;</w:t>
      </w:r>
      <w:r w:rsidR="00D2724C" w:rsidRPr="005205A0">
        <w:rPr>
          <w:sz w:val="24"/>
          <w:szCs w:val="24"/>
        </w:rPr>
        <w:t xml:space="preserve"> this includes the CESU overhead rate of 17.5%. </w:t>
      </w:r>
      <w:r w:rsidR="00F9530E">
        <w:rPr>
          <w:sz w:val="24"/>
          <w:szCs w:val="24"/>
        </w:rPr>
        <w:t>N</w:t>
      </w:r>
      <w:r w:rsidR="00D2724C" w:rsidRPr="005205A0">
        <w:rPr>
          <w:sz w:val="24"/>
          <w:szCs w:val="24"/>
        </w:rPr>
        <w:t>on-federal partners within the CESU</w:t>
      </w:r>
      <w:r>
        <w:rPr>
          <w:sz w:val="24"/>
          <w:szCs w:val="24"/>
        </w:rPr>
        <w:t xml:space="preserve"> system</w:t>
      </w:r>
      <w:r w:rsidR="00D2724C" w:rsidRPr="005205A0">
        <w:rPr>
          <w:sz w:val="24"/>
          <w:szCs w:val="24"/>
        </w:rPr>
        <w:t xml:space="preserve"> </w:t>
      </w:r>
      <w:r w:rsidR="00F9530E">
        <w:rPr>
          <w:sz w:val="24"/>
          <w:szCs w:val="24"/>
        </w:rPr>
        <w:t xml:space="preserve">with a current NPS master cooperative agreement </w:t>
      </w:r>
      <w:r w:rsidR="00D2724C" w:rsidRPr="005205A0">
        <w:rPr>
          <w:sz w:val="24"/>
          <w:szCs w:val="24"/>
        </w:rPr>
        <w:t>are eligible to apply.</w:t>
      </w:r>
    </w:p>
    <w:p w14:paraId="62500EAA" w14:textId="77777777" w:rsidR="00D2724C" w:rsidRPr="005205A0" w:rsidRDefault="00D2724C" w:rsidP="00D2724C">
      <w:pPr>
        <w:rPr>
          <w:b/>
          <w:sz w:val="24"/>
          <w:szCs w:val="24"/>
        </w:rPr>
      </w:pPr>
    </w:p>
    <w:p w14:paraId="344F7716" w14:textId="77777777" w:rsidR="00D2724C" w:rsidRPr="005205A0" w:rsidRDefault="00E57BF6" w:rsidP="00D2724C">
      <w:pPr>
        <w:rPr>
          <w:b/>
          <w:sz w:val="24"/>
          <w:szCs w:val="24"/>
        </w:rPr>
      </w:pPr>
      <w:r w:rsidRPr="00E57BF6">
        <w:rPr>
          <w:b/>
          <w:sz w:val="24"/>
          <w:szCs w:val="24"/>
        </w:rPr>
        <w:t xml:space="preserve">Materials Requested for </w:t>
      </w:r>
      <w:r w:rsidR="00D2724C" w:rsidRPr="00E57BF6">
        <w:rPr>
          <w:b/>
          <w:sz w:val="24"/>
          <w:szCs w:val="24"/>
        </w:rPr>
        <w:t>Letters of Interest</w:t>
      </w:r>
    </w:p>
    <w:p w14:paraId="67984CF9" w14:textId="77777777" w:rsidR="00E57BF6" w:rsidRDefault="00E57BF6" w:rsidP="00D2724C">
      <w:pPr>
        <w:rPr>
          <w:sz w:val="24"/>
          <w:szCs w:val="24"/>
        </w:rPr>
      </w:pPr>
      <w:r>
        <w:rPr>
          <w:sz w:val="24"/>
          <w:szCs w:val="24"/>
        </w:rPr>
        <w:t xml:space="preserve">Letters of interest </w:t>
      </w:r>
      <w:r w:rsidR="00F9530E">
        <w:rPr>
          <w:sz w:val="24"/>
          <w:szCs w:val="24"/>
        </w:rPr>
        <w:t xml:space="preserve">(limit 4 pages) </w:t>
      </w:r>
      <w:r>
        <w:rPr>
          <w:sz w:val="24"/>
          <w:szCs w:val="24"/>
        </w:rPr>
        <w:t>must include:</w:t>
      </w:r>
    </w:p>
    <w:p w14:paraId="58CDDF52" w14:textId="77777777" w:rsidR="00E57BF6" w:rsidRPr="00E57BF6" w:rsidRDefault="00E57BF6" w:rsidP="00E57BF6">
      <w:pPr>
        <w:numPr>
          <w:ilvl w:val="0"/>
          <w:numId w:val="13"/>
        </w:numPr>
        <w:rPr>
          <w:sz w:val="24"/>
          <w:szCs w:val="24"/>
        </w:rPr>
      </w:pPr>
      <w:r w:rsidRPr="00E57BF6">
        <w:rPr>
          <w:sz w:val="24"/>
          <w:szCs w:val="24"/>
        </w:rPr>
        <w:t>Name, Organization and Contact Information</w:t>
      </w:r>
    </w:p>
    <w:p w14:paraId="6CFD3815" w14:textId="74D17665" w:rsidR="00E57BF6" w:rsidRDefault="00E57BF6" w:rsidP="00E57BF6">
      <w:pPr>
        <w:numPr>
          <w:ilvl w:val="0"/>
          <w:numId w:val="13"/>
        </w:numPr>
        <w:rPr>
          <w:sz w:val="24"/>
          <w:szCs w:val="24"/>
        </w:rPr>
      </w:pPr>
      <w:r w:rsidRPr="00E57BF6">
        <w:rPr>
          <w:sz w:val="24"/>
          <w:szCs w:val="24"/>
        </w:rPr>
        <w:lastRenderedPageBreak/>
        <w:t xml:space="preserve">Description of the proposed approach for conducting the project </w:t>
      </w:r>
    </w:p>
    <w:p w14:paraId="495D8207" w14:textId="77777777" w:rsidR="00F9530E" w:rsidRPr="00E57BF6" w:rsidRDefault="00F9530E" w:rsidP="00E57BF6">
      <w:pPr>
        <w:numPr>
          <w:ilvl w:val="0"/>
          <w:numId w:val="13"/>
        </w:numPr>
        <w:rPr>
          <w:sz w:val="24"/>
          <w:szCs w:val="24"/>
        </w:rPr>
      </w:pPr>
      <w:r>
        <w:rPr>
          <w:sz w:val="24"/>
          <w:szCs w:val="24"/>
        </w:rPr>
        <w:t>Draft budget</w:t>
      </w:r>
    </w:p>
    <w:p w14:paraId="23521EE3" w14:textId="77777777" w:rsidR="00E57BF6" w:rsidRPr="00E57BF6" w:rsidRDefault="00E57BF6" w:rsidP="00E57BF6">
      <w:pPr>
        <w:numPr>
          <w:ilvl w:val="0"/>
          <w:numId w:val="13"/>
        </w:numPr>
        <w:rPr>
          <w:sz w:val="24"/>
          <w:szCs w:val="24"/>
        </w:rPr>
      </w:pPr>
      <w:r w:rsidRPr="00E57BF6">
        <w:rPr>
          <w:sz w:val="24"/>
          <w:szCs w:val="24"/>
        </w:rPr>
        <w:t>Brief Statement of Qualifications (including):</w:t>
      </w:r>
    </w:p>
    <w:p w14:paraId="2077A3DD" w14:textId="56D50208" w:rsidR="00E57BF6" w:rsidRPr="00E57BF6" w:rsidRDefault="00E57BF6" w:rsidP="00E57BF6">
      <w:pPr>
        <w:numPr>
          <w:ilvl w:val="1"/>
          <w:numId w:val="13"/>
        </w:numPr>
        <w:rPr>
          <w:sz w:val="24"/>
          <w:szCs w:val="24"/>
        </w:rPr>
      </w:pPr>
      <w:r w:rsidRPr="00E57BF6">
        <w:rPr>
          <w:sz w:val="24"/>
          <w:szCs w:val="24"/>
        </w:rPr>
        <w:t>Biographical Sketch(s) for key personnel (faculty, staff), including a description of discipline(s) of expertise. Curricul</w:t>
      </w:r>
      <w:r w:rsidR="00127149">
        <w:rPr>
          <w:sz w:val="24"/>
          <w:szCs w:val="24"/>
        </w:rPr>
        <w:t>a</w:t>
      </w:r>
      <w:r w:rsidRPr="00E57BF6">
        <w:rPr>
          <w:sz w:val="24"/>
          <w:szCs w:val="24"/>
        </w:rPr>
        <w:t xml:space="preserve"> vita</w:t>
      </w:r>
      <w:r w:rsidR="00127149">
        <w:rPr>
          <w:sz w:val="24"/>
          <w:szCs w:val="24"/>
        </w:rPr>
        <w:t>e</w:t>
      </w:r>
      <w:r w:rsidRPr="00E57BF6">
        <w:rPr>
          <w:sz w:val="24"/>
          <w:szCs w:val="24"/>
        </w:rPr>
        <w:t xml:space="preserve"> can be submitted as an attachment</w:t>
      </w:r>
      <w:r w:rsidR="003C4191">
        <w:rPr>
          <w:sz w:val="24"/>
          <w:szCs w:val="24"/>
        </w:rPr>
        <w:t xml:space="preserve"> (not subject to the page limit)</w:t>
      </w:r>
      <w:r w:rsidRPr="00E57BF6">
        <w:rPr>
          <w:sz w:val="24"/>
          <w:szCs w:val="24"/>
        </w:rPr>
        <w:t>.</w:t>
      </w:r>
    </w:p>
    <w:p w14:paraId="28D60E02" w14:textId="1CA33A24" w:rsidR="00E57BF6" w:rsidRPr="00F9530E" w:rsidRDefault="00E57BF6" w:rsidP="00E57BF6">
      <w:pPr>
        <w:numPr>
          <w:ilvl w:val="1"/>
          <w:numId w:val="13"/>
        </w:numPr>
        <w:rPr>
          <w:sz w:val="24"/>
          <w:szCs w:val="24"/>
        </w:rPr>
      </w:pPr>
      <w:r w:rsidRPr="00E57BF6">
        <w:rPr>
          <w:sz w:val="24"/>
          <w:szCs w:val="24"/>
        </w:rPr>
        <w:t>Relevant past research projects</w:t>
      </w:r>
    </w:p>
    <w:p w14:paraId="36E42976" w14:textId="77777777" w:rsidR="00D2724C" w:rsidRDefault="00D2724C" w:rsidP="00D2724C">
      <w:pPr>
        <w:rPr>
          <w:b/>
          <w:sz w:val="24"/>
          <w:szCs w:val="24"/>
        </w:rPr>
      </w:pPr>
    </w:p>
    <w:p w14:paraId="6A175953" w14:textId="77777777" w:rsidR="00E67BFC" w:rsidRDefault="00E67BFC" w:rsidP="00D2724C">
      <w:pPr>
        <w:rPr>
          <w:b/>
          <w:sz w:val="24"/>
          <w:szCs w:val="24"/>
        </w:rPr>
      </w:pPr>
      <w:r>
        <w:rPr>
          <w:b/>
          <w:sz w:val="24"/>
          <w:szCs w:val="24"/>
        </w:rPr>
        <w:t>Evaluation</w:t>
      </w:r>
      <w:r w:rsidR="00E57BF6">
        <w:rPr>
          <w:b/>
          <w:sz w:val="24"/>
          <w:szCs w:val="24"/>
        </w:rPr>
        <w:t xml:space="preserve"> Letters of Interest</w:t>
      </w:r>
    </w:p>
    <w:p w14:paraId="1CCAAD9B" w14:textId="0DAB122D" w:rsidR="009B5FDD" w:rsidRPr="009B5FDD" w:rsidRDefault="009B5FDD" w:rsidP="009B5FDD">
      <w:pPr>
        <w:rPr>
          <w:bCs/>
          <w:sz w:val="24"/>
          <w:szCs w:val="24"/>
        </w:rPr>
      </w:pPr>
      <w:r w:rsidRPr="009B5FDD">
        <w:rPr>
          <w:bCs/>
          <w:sz w:val="24"/>
          <w:szCs w:val="24"/>
        </w:rPr>
        <w:t xml:space="preserve">Based on a review of the </w:t>
      </w:r>
      <w:r>
        <w:rPr>
          <w:bCs/>
          <w:sz w:val="24"/>
          <w:szCs w:val="24"/>
        </w:rPr>
        <w:t>Letters</w:t>
      </w:r>
      <w:r w:rsidRPr="009B5FDD">
        <w:rPr>
          <w:bCs/>
          <w:sz w:val="24"/>
          <w:szCs w:val="24"/>
        </w:rPr>
        <w:t xml:space="preserve"> of Interest received, </w:t>
      </w:r>
      <w:r w:rsidR="00F9530E">
        <w:rPr>
          <w:bCs/>
          <w:sz w:val="24"/>
          <w:szCs w:val="24"/>
        </w:rPr>
        <w:t xml:space="preserve">and contingent on funding, </w:t>
      </w:r>
      <w:r w:rsidRPr="009B5FDD">
        <w:rPr>
          <w:bCs/>
          <w:sz w:val="24"/>
          <w:szCs w:val="24"/>
        </w:rPr>
        <w:t xml:space="preserve">an investigator will be invited to prepare a full study proposal, schedule, and detailed budget. </w:t>
      </w:r>
      <w:r w:rsidR="005928FD" w:rsidRPr="00871438">
        <w:rPr>
          <w:sz w:val="23"/>
          <w:szCs w:val="23"/>
        </w:rPr>
        <w:t>Because of the broad scope of this project, an interdisciplinary approach is necessary</w:t>
      </w:r>
      <w:r w:rsidR="005928FD">
        <w:rPr>
          <w:sz w:val="23"/>
          <w:szCs w:val="23"/>
        </w:rPr>
        <w:t>.</w:t>
      </w:r>
      <w:r w:rsidR="005928FD">
        <w:rPr>
          <w:bCs/>
          <w:sz w:val="24"/>
          <w:szCs w:val="24"/>
        </w:rPr>
        <w:t xml:space="preserve"> </w:t>
      </w:r>
      <w:r>
        <w:rPr>
          <w:bCs/>
          <w:sz w:val="24"/>
          <w:szCs w:val="24"/>
        </w:rPr>
        <w:t>Letters</w:t>
      </w:r>
      <w:r w:rsidRPr="009B5FDD">
        <w:rPr>
          <w:bCs/>
          <w:sz w:val="24"/>
          <w:szCs w:val="24"/>
        </w:rPr>
        <w:t xml:space="preserve"> will be evaluated </w:t>
      </w:r>
      <w:r w:rsidR="003C4191">
        <w:rPr>
          <w:bCs/>
          <w:sz w:val="24"/>
          <w:szCs w:val="24"/>
        </w:rPr>
        <w:t xml:space="preserve">by a panel of three NPS staff </w:t>
      </w:r>
      <w:r w:rsidRPr="009B5FDD">
        <w:rPr>
          <w:bCs/>
          <w:sz w:val="24"/>
          <w:szCs w:val="24"/>
        </w:rPr>
        <w:t>based on the following criteria and scoring</w:t>
      </w:r>
      <w:r>
        <w:rPr>
          <w:bCs/>
          <w:sz w:val="24"/>
          <w:szCs w:val="24"/>
        </w:rPr>
        <w:t>:</w:t>
      </w:r>
    </w:p>
    <w:p w14:paraId="2672CEBB" w14:textId="77777777" w:rsidR="009B5FDD" w:rsidRDefault="009B5FDD" w:rsidP="009B5FDD">
      <w:pPr>
        <w:numPr>
          <w:ilvl w:val="0"/>
          <w:numId w:val="14"/>
        </w:numPr>
        <w:rPr>
          <w:bCs/>
          <w:sz w:val="24"/>
          <w:szCs w:val="24"/>
        </w:rPr>
      </w:pPr>
      <w:r>
        <w:rPr>
          <w:bCs/>
          <w:sz w:val="24"/>
          <w:szCs w:val="24"/>
        </w:rPr>
        <w:t>Soundness and validity of th</w:t>
      </w:r>
      <w:r w:rsidRPr="009B5FDD">
        <w:rPr>
          <w:bCs/>
          <w:sz w:val="24"/>
          <w:szCs w:val="24"/>
        </w:rPr>
        <w:t xml:space="preserve">e proposed approach for meeting project objectives (15 points maximum) </w:t>
      </w:r>
    </w:p>
    <w:p w14:paraId="1D7190FC" w14:textId="5558C724" w:rsidR="009B5FDD" w:rsidRDefault="005928FD" w:rsidP="009B5FDD">
      <w:pPr>
        <w:numPr>
          <w:ilvl w:val="0"/>
          <w:numId w:val="14"/>
        </w:numPr>
        <w:rPr>
          <w:bCs/>
          <w:sz w:val="24"/>
          <w:szCs w:val="24"/>
        </w:rPr>
      </w:pPr>
      <w:r>
        <w:rPr>
          <w:bCs/>
          <w:sz w:val="24"/>
          <w:szCs w:val="24"/>
        </w:rPr>
        <w:t>E</w:t>
      </w:r>
      <w:r w:rsidR="009B5FDD" w:rsidRPr="009B5FDD">
        <w:rPr>
          <w:bCs/>
          <w:sz w:val="24"/>
          <w:szCs w:val="24"/>
        </w:rPr>
        <w:t xml:space="preserve">xperience </w:t>
      </w:r>
      <w:r w:rsidR="003C4191">
        <w:rPr>
          <w:bCs/>
          <w:sz w:val="24"/>
          <w:szCs w:val="24"/>
        </w:rPr>
        <w:t>with natural resource condition assessment</w:t>
      </w:r>
      <w:r w:rsidR="009B5FDD" w:rsidRPr="009B5FDD">
        <w:rPr>
          <w:bCs/>
          <w:sz w:val="24"/>
          <w:szCs w:val="24"/>
        </w:rPr>
        <w:t xml:space="preserve"> (10 points maximum)</w:t>
      </w:r>
    </w:p>
    <w:p w14:paraId="49DC9B60" w14:textId="4BB14B1C" w:rsidR="005928FD" w:rsidRDefault="005928FD" w:rsidP="009B5FDD">
      <w:pPr>
        <w:numPr>
          <w:ilvl w:val="0"/>
          <w:numId w:val="14"/>
        </w:numPr>
        <w:rPr>
          <w:bCs/>
          <w:sz w:val="24"/>
          <w:szCs w:val="24"/>
        </w:rPr>
      </w:pPr>
      <w:r>
        <w:rPr>
          <w:bCs/>
          <w:sz w:val="24"/>
          <w:szCs w:val="24"/>
        </w:rPr>
        <w:t>Experience extracting and interpreting data from diverse databases (10 points maximum)</w:t>
      </w:r>
    </w:p>
    <w:p w14:paraId="68CBE8BA" w14:textId="583A72F3" w:rsidR="003C4191" w:rsidRDefault="005928FD" w:rsidP="009B5FDD">
      <w:pPr>
        <w:numPr>
          <w:ilvl w:val="0"/>
          <w:numId w:val="14"/>
        </w:numPr>
        <w:rPr>
          <w:bCs/>
          <w:sz w:val="24"/>
          <w:szCs w:val="24"/>
        </w:rPr>
      </w:pPr>
      <w:r>
        <w:rPr>
          <w:bCs/>
          <w:sz w:val="24"/>
          <w:szCs w:val="24"/>
        </w:rPr>
        <w:t>Experience with Geographic Information Systems (GIS; 10 points maximum)</w:t>
      </w:r>
    </w:p>
    <w:p w14:paraId="28D3DE1A" w14:textId="57513985" w:rsidR="00E57BF6" w:rsidRPr="009B5FDD" w:rsidRDefault="005928FD" w:rsidP="009B5FDD">
      <w:pPr>
        <w:numPr>
          <w:ilvl w:val="0"/>
          <w:numId w:val="14"/>
        </w:numPr>
        <w:rPr>
          <w:bCs/>
          <w:sz w:val="24"/>
          <w:szCs w:val="24"/>
        </w:rPr>
      </w:pPr>
      <w:r>
        <w:rPr>
          <w:bCs/>
          <w:sz w:val="24"/>
          <w:szCs w:val="24"/>
        </w:rPr>
        <w:t>A</w:t>
      </w:r>
      <w:r w:rsidR="009B5FDD" w:rsidRPr="009B5FDD">
        <w:rPr>
          <w:bCs/>
          <w:sz w:val="24"/>
          <w:szCs w:val="24"/>
        </w:rPr>
        <w:t>bility to produce technical reports within schedule and budget and demonstrated record of professional publications (5 points maximum)</w:t>
      </w:r>
    </w:p>
    <w:p w14:paraId="62FC5B04" w14:textId="77777777" w:rsidR="00E67BFC" w:rsidRPr="00E67BFC" w:rsidRDefault="00E67BFC" w:rsidP="00D2724C">
      <w:pPr>
        <w:rPr>
          <w:bCs/>
          <w:sz w:val="24"/>
          <w:szCs w:val="24"/>
        </w:rPr>
      </w:pPr>
    </w:p>
    <w:p w14:paraId="063CA4EA" w14:textId="77777777" w:rsidR="00D2724C" w:rsidRPr="005205A0" w:rsidRDefault="00D2724C" w:rsidP="00D2724C">
      <w:pPr>
        <w:rPr>
          <w:b/>
          <w:sz w:val="24"/>
          <w:szCs w:val="24"/>
        </w:rPr>
      </w:pPr>
      <w:r w:rsidRPr="00873EB0">
        <w:rPr>
          <w:b/>
          <w:sz w:val="24"/>
          <w:szCs w:val="24"/>
        </w:rPr>
        <w:t>Contact</w:t>
      </w:r>
    </w:p>
    <w:p w14:paraId="5F8F4D2B" w14:textId="18A2ADCE" w:rsidR="00FF160F" w:rsidRPr="005205A0" w:rsidRDefault="00873EB0" w:rsidP="00FF160F">
      <w:pPr>
        <w:rPr>
          <w:sz w:val="24"/>
          <w:szCs w:val="24"/>
        </w:rPr>
      </w:pPr>
      <w:r>
        <w:rPr>
          <w:sz w:val="24"/>
          <w:szCs w:val="24"/>
        </w:rPr>
        <w:t>Direct q</w:t>
      </w:r>
      <w:r w:rsidR="00D2724C" w:rsidRPr="005205A0">
        <w:rPr>
          <w:sz w:val="24"/>
          <w:szCs w:val="24"/>
        </w:rPr>
        <w:t xml:space="preserve">uestions and </w:t>
      </w:r>
      <w:r w:rsidR="00ED5A69">
        <w:rPr>
          <w:sz w:val="24"/>
          <w:szCs w:val="24"/>
        </w:rPr>
        <w:t>letters of interest</w:t>
      </w:r>
      <w:r w:rsidR="00D2724C" w:rsidRPr="005205A0">
        <w:rPr>
          <w:sz w:val="24"/>
          <w:szCs w:val="24"/>
        </w:rPr>
        <w:t xml:space="preserve"> to </w:t>
      </w:r>
      <w:r w:rsidR="00ED5A69">
        <w:rPr>
          <w:sz w:val="24"/>
          <w:szCs w:val="24"/>
        </w:rPr>
        <w:t>Brian Mitchell</w:t>
      </w:r>
      <w:r w:rsidR="00253140">
        <w:rPr>
          <w:sz w:val="24"/>
          <w:szCs w:val="24"/>
        </w:rPr>
        <w:t xml:space="preserve">, </w:t>
      </w:r>
      <w:hyperlink r:id="rId19" w:history="1">
        <w:r w:rsidR="00B41103" w:rsidRPr="00731B0D">
          <w:rPr>
            <w:rStyle w:val="Hyperlink"/>
            <w:sz w:val="24"/>
            <w:szCs w:val="24"/>
          </w:rPr>
          <w:t>brian_mitchell@nps.gov</w:t>
        </w:r>
      </w:hyperlink>
      <w:r w:rsidR="005928FD">
        <w:rPr>
          <w:sz w:val="24"/>
          <w:szCs w:val="24"/>
        </w:rPr>
        <w:t>. The deadline for responding to this request for LOI is January 1</w:t>
      </w:r>
      <w:r w:rsidR="00AF0A90">
        <w:rPr>
          <w:sz w:val="24"/>
          <w:szCs w:val="24"/>
        </w:rPr>
        <w:t>9</w:t>
      </w:r>
      <w:r w:rsidR="005928FD">
        <w:rPr>
          <w:sz w:val="24"/>
          <w:szCs w:val="24"/>
        </w:rPr>
        <w:t>, 2022.</w:t>
      </w:r>
    </w:p>
    <w:p w14:paraId="0AAA308B" w14:textId="54177959" w:rsidR="005928FD" w:rsidRDefault="005928FD">
      <w:pPr>
        <w:rPr>
          <w:sz w:val="24"/>
          <w:szCs w:val="24"/>
        </w:rPr>
      </w:pPr>
      <w:r>
        <w:rPr>
          <w:sz w:val="24"/>
          <w:szCs w:val="24"/>
        </w:rPr>
        <w:br w:type="page"/>
      </w:r>
    </w:p>
    <w:p w14:paraId="2397222D" w14:textId="70D0C666" w:rsidR="00573200" w:rsidRPr="005928FD" w:rsidRDefault="005928FD">
      <w:pPr>
        <w:rPr>
          <w:b/>
          <w:bCs/>
          <w:sz w:val="24"/>
          <w:szCs w:val="24"/>
        </w:rPr>
      </w:pPr>
      <w:r w:rsidRPr="005928FD">
        <w:rPr>
          <w:b/>
          <w:bCs/>
          <w:sz w:val="24"/>
          <w:szCs w:val="24"/>
        </w:rPr>
        <w:lastRenderedPageBreak/>
        <w:t>Attachment 1: Katahdin Woods and Waters National Monument</w:t>
      </w:r>
    </w:p>
    <w:p w14:paraId="155916E6" w14:textId="14582E6B" w:rsidR="005928FD" w:rsidRDefault="005928FD">
      <w:pPr>
        <w:rPr>
          <w:sz w:val="24"/>
          <w:szCs w:val="24"/>
        </w:rPr>
      </w:pPr>
    </w:p>
    <w:p w14:paraId="15F97FFD" w14:textId="2F2719F0" w:rsidR="005928FD" w:rsidRDefault="005928FD">
      <w:pPr>
        <w:rPr>
          <w:sz w:val="24"/>
          <w:szCs w:val="24"/>
        </w:rPr>
      </w:pPr>
      <w:r w:rsidRPr="005928FD">
        <w:rPr>
          <w:sz w:val="24"/>
          <w:szCs w:val="24"/>
        </w:rPr>
        <w:t xml:space="preserve">The Katahdin Woods and Waters National Monument </w:t>
      </w:r>
      <w:r w:rsidR="00593FED">
        <w:rPr>
          <w:sz w:val="24"/>
          <w:szCs w:val="24"/>
        </w:rPr>
        <w:t xml:space="preserve">(KAWW) </w:t>
      </w:r>
      <w:r w:rsidRPr="005928FD">
        <w:rPr>
          <w:sz w:val="24"/>
          <w:szCs w:val="24"/>
        </w:rPr>
        <w:t>encompasses 87,500 acres in Penobscot County, Maine.</w:t>
      </w:r>
      <w:r w:rsidRPr="005928FD">
        <w:t xml:space="preserve"> </w:t>
      </w:r>
      <w:r w:rsidR="007C3719">
        <w:rPr>
          <w:sz w:val="24"/>
          <w:szCs w:val="24"/>
        </w:rPr>
        <w:t>The park</w:t>
      </w:r>
      <w:r w:rsidRPr="005928FD">
        <w:rPr>
          <w:sz w:val="24"/>
          <w:szCs w:val="24"/>
        </w:rPr>
        <w:t xml:space="preserve"> contains a significant piece of </w:t>
      </w:r>
      <w:r w:rsidR="00024C84">
        <w:rPr>
          <w:sz w:val="24"/>
          <w:szCs w:val="24"/>
        </w:rPr>
        <w:t>Maine’s North Woods</w:t>
      </w:r>
      <w:r w:rsidRPr="005928FD">
        <w:rPr>
          <w:sz w:val="24"/>
          <w:szCs w:val="24"/>
        </w:rPr>
        <w:t>: the mountains, woods, and waters east of Baxter State Park (home of Katahdin</w:t>
      </w:r>
      <w:r w:rsidR="00573227" w:rsidRPr="00752E15">
        <w:rPr>
          <w:rStyle w:val="FootnoteReference"/>
          <w:sz w:val="24"/>
          <w:szCs w:val="24"/>
          <w:vertAlign w:val="superscript"/>
        </w:rPr>
        <w:footnoteReference w:id="1"/>
      </w:r>
      <w:r w:rsidRPr="005928FD">
        <w:rPr>
          <w:sz w:val="24"/>
          <w:szCs w:val="24"/>
        </w:rPr>
        <w:t>, the northern terminus of the Appalachian Trail)</w:t>
      </w:r>
      <w:r w:rsidR="00573227">
        <w:rPr>
          <w:sz w:val="24"/>
          <w:szCs w:val="24"/>
        </w:rPr>
        <w:t>. Important waterways through KAWW include</w:t>
      </w:r>
      <w:r w:rsidRPr="005928FD">
        <w:rPr>
          <w:sz w:val="24"/>
          <w:szCs w:val="24"/>
        </w:rPr>
        <w:t xml:space="preserve"> the East Branch of the Penobscot River</w:t>
      </w:r>
      <w:r w:rsidR="00752E15">
        <w:rPr>
          <w:sz w:val="24"/>
          <w:szCs w:val="24"/>
        </w:rPr>
        <w:t xml:space="preserve"> and</w:t>
      </w:r>
      <w:r w:rsidR="00573227">
        <w:rPr>
          <w:sz w:val="24"/>
          <w:szCs w:val="24"/>
        </w:rPr>
        <w:t xml:space="preserve"> </w:t>
      </w:r>
      <w:r w:rsidRPr="005928FD">
        <w:rPr>
          <w:sz w:val="24"/>
          <w:szCs w:val="24"/>
        </w:rPr>
        <w:t>its tributaries</w:t>
      </w:r>
      <w:r w:rsidR="00752E15">
        <w:rPr>
          <w:sz w:val="24"/>
          <w:szCs w:val="24"/>
        </w:rPr>
        <w:t>,</w:t>
      </w:r>
      <w:r w:rsidR="00752E15" w:rsidRPr="005928FD">
        <w:rPr>
          <w:sz w:val="24"/>
          <w:szCs w:val="24"/>
        </w:rPr>
        <w:t xml:space="preserve"> </w:t>
      </w:r>
      <w:r w:rsidRPr="005928FD">
        <w:rPr>
          <w:sz w:val="24"/>
          <w:szCs w:val="24"/>
        </w:rPr>
        <w:t xml:space="preserve">including the Wassataquoik Stream and the Seboeis River. Since the glaciers retreated 12,000 years ago, these waterways and associated resources </w:t>
      </w:r>
      <w:r w:rsidR="00024C84">
        <w:rPr>
          <w:sz w:val="24"/>
          <w:szCs w:val="24"/>
        </w:rPr>
        <w:t>–</w:t>
      </w:r>
      <w:r w:rsidRPr="005928FD">
        <w:rPr>
          <w:sz w:val="24"/>
          <w:szCs w:val="24"/>
        </w:rPr>
        <w:t xml:space="preserve"> the scenery, geology, flora and fauna, night skies, and more </w:t>
      </w:r>
      <w:r w:rsidR="00024C84">
        <w:rPr>
          <w:sz w:val="24"/>
          <w:szCs w:val="24"/>
        </w:rPr>
        <w:t>–</w:t>
      </w:r>
      <w:r w:rsidRPr="005928FD">
        <w:rPr>
          <w:sz w:val="24"/>
          <w:szCs w:val="24"/>
        </w:rPr>
        <w:t xml:space="preserve"> have attracted people to this area.</w:t>
      </w:r>
    </w:p>
    <w:p w14:paraId="6C43704C" w14:textId="7237F996" w:rsidR="007C3719" w:rsidRDefault="007C3719">
      <w:pPr>
        <w:rPr>
          <w:sz w:val="24"/>
          <w:szCs w:val="24"/>
        </w:rPr>
      </w:pPr>
    </w:p>
    <w:p w14:paraId="79543F5C" w14:textId="4FAE661A" w:rsidR="007C3719" w:rsidRDefault="00593FED" w:rsidP="007C3719">
      <w:pPr>
        <w:rPr>
          <w:sz w:val="24"/>
          <w:szCs w:val="24"/>
        </w:rPr>
      </w:pPr>
      <w:r>
        <w:rPr>
          <w:sz w:val="24"/>
          <w:szCs w:val="24"/>
        </w:rPr>
        <w:t>The</w:t>
      </w:r>
      <w:r w:rsidR="007C3719" w:rsidRPr="007C3719">
        <w:rPr>
          <w:sz w:val="24"/>
          <w:szCs w:val="24"/>
        </w:rPr>
        <w:t xml:space="preserve"> significant biodiversity</w:t>
      </w:r>
      <w:r>
        <w:rPr>
          <w:sz w:val="24"/>
          <w:szCs w:val="24"/>
        </w:rPr>
        <w:t xml:space="preserve"> of KAWW spans </w:t>
      </w:r>
      <w:r w:rsidR="007C3719" w:rsidRPr="007C3719">
        <w:rPr>
          <w:sz w:val="24"/>
          <w:szCs w:val="24"/>
        </w:rPr>
        <w:t>three ecoregions</w:t>
      </w:r>
      <w:r>
        <w:rPr>
          <w:sz w:val="24"/>
          <w:szCs w:val="24"/>
        </w:rPr>
        <w:t xml:space="preserve"> that </w:t>
      </w:r>
      <w:r w:rsidR="007C3719" w:rsidRPr="007C3719">
        <w:rPr>
          <w:sz w:val="24"/>
          <w:szCs w:val="24"/>
        </w:rPr>
        <w:t xml:space="preserve">display the transition between northern boreal and southern broadleaf deciduous forests, providing a unique opportunity for scientific investigation of the effects of climate change across ecotones. The forests include mixed hardwoods like sugar maple, beech, and yellow birch; mixed forests with hardwoods, hemlock, and white pine; and spruce-fir forests with balsam fir, red spruce, and birches. In wetland areas, black spruce, white spruce, red maple, and tamarack </w:t>
      </w:r>
      <w:r>
        <w:rPr>
          <w:sz w:val="24"/>
          <w:szCs w:val="24"/>
        </w:rPr>
        <w:t>co-</w:t>
      </w:r>
      <w:r w:rsidR="007C3719" w:rsidRPr="007C3719">
        <w:rPr>
          <w:sz w:val="24"/>
          <w:szCs w:val="24"/>
        </w:rPr>
        <w:t>dominate.</w:t>
      </w:r>
    </w:p>
    <w:p w14:paraId="537D44D4" w14:textId="77777777" w:rsidR="007C3719" w:rsidRDefault="007C3719" w:rsidP="007C3719">
      <w:pPr>
        <w:rPr>
          <w:sz w:val="24"/>
          <w:szCs w:val="24"/>
        </w:rPr>
      </w:pPr>
    </w:p>
    <w:p w14:paraId="65443D86" w14:textId="221A3F12" w:rsidR="007C3719" w:rsidRDefault="007C3719" w:rsidP="007C3719">
      <w:pPr>
        <w:rPr>
          <w:sz w:val="24"/>
          <w:szCs w:val="24"/>
        </w:rPr>
      </w:pPr>
      <w:r w:rsidRPr="007C3719">
        <w:rPr>
          <w:sz w:val="24"/>
          <w:szCs w:val="24"/>
        </w:rPr>
        <w:t>The expanse of K</w:t>
      </w:r>
      <w:r w:rsidR="00593FED">
        <w:rPr>
          <w:sz w:val="24"/>
          <w:szCs w:val="24"/>
        </w:rPr>
        <w:t>AWW</w:t>
      </w:r>
      <w:r w:rsidRPr="007C3719">
        <w:rPr>
          <w:sz w:val="24"/>
          <w:szCs w:val="24"/>
        </w:rPr>
        <w:t>, augmented by its location next to other large conservation properties including Baxter State Park and State</w:t>
      </w:r>
      <w:r w:rsidR="00593FED">
        <w:rPr>
          <w:sz w:val="24"/>
          <w:szCs w:val="24"/>
        </w:rPr>
        <w:t xml:space="preserve"> of Maine managed</w:t>
      </w:r>
      <w:r w:rsidRPr="007C3719">
        <w:rPr>
          <w:sz w:val="24"/>
          <w:szCs w:val="24"/>
        </w:rPr>
        <w:t xml:space="preserve"> reservations, support</w:t>
      </w:r>
      <w:r w:rsidR="00752E15">
        <w:rPr>
          <w:sz w:val="24"/>
          <w:szCs w:val="24"/>
        </w:rPr>
        <w:t>s</w:t>
      </w:r>
      <w:r w:rsidRPr="007C3719">
        <w:rPr>
          <w:sz w:val="24"/>
          <w:szCs w:val="24"/>
        </w:rPr>
        <w:t xml:space="preserve"> many wide-ranging wildlife species</w:t>
      </w:r>
      <w:r w:rsidR="00593FED">
        <w:rPr>
          <w:sz w:val="24"/>
          <w:szCs w:val="24"/>
        </w:rPr>
        <w:t>,</w:t>
      </w:r>
      <w:r w:rsidRPr="007C3719">
        <w:rPr>
          <w:sz w:val="24"/>
          <w:szCs w:val="24"/>
        </w:rPr>
        <w:t xml:space="preserve"> including ruffed grouse, moose, black bear, white-tailed deer, snowshoe hare, American marten, bobcat, bald eagle, northern goshawk, and the federally threatened Canada lynx. </w:t>
      </w:r>
      <w:r w:rsidR="00F739C3">
        <w:rPr>
          <w:sz w:val="24"/>
          <w:szCs w:val="24"/>
        </w:rPr>
        <w:t xml:space="preserve">The federally endangered northern long-eared bat and </w:t>
      </w:r>
      <w:r w:rsidR="00052345">
        <w:rPr>
          <w:sz w:val="24"/>
          <w:szCs w:val="24"/>
        </w:rPr>
        <w:t xml:space="preserve">proposed </w:t>
      </w:r>
      <w:r w:rsidR="00805458">
        <w:rPr>
          <w:sz w:val="24"/>
          <w:szCs w:val="24"/>
        </w:rPr>
        <w:t>(for listing</w:t>
      </w:r>
      <w:r w:rsidR="00052345">
        <w:rPr>
          <w:sz w:val="24"/>
          <w:szCs w:val="24"/>
        </w:rPr>
        <w:t xml:space="preserve"> as endangered</w:t>
      </w:r>
      <w:r w:rsidR="00805458">
        <w:rPr>
          <w:sz w:val="24"/>
          <w:szCs w:val="24"/>
        </w:rPr>
        <w:t>)</w:t>
      </w:r>
      <w:r w:rsidR="00052345">
        <w:rPr>
          <w:sz w:val="24"/>
          <w:szCs w:val="24"/>
        </w:rPr>
        <w:t xml:space="preserve"> </w:t>
      </w:r>
      <w:r w:rsidR="00F739C3">
        <w:rPr>
          <w:sz w:val="24"/>
          <w:szCs w:val="24"/>
        </w:rPr>
        <w:t xml:space="preserve">tri-colored bat </w:t>
      </w:r>
      <w:r w:rsidR="00052345">
        <w:rPr>
          <w:sz w:val="24"/>
          <w:szCs w:val="24"/>
        </w:rPr>
        <w:t xml:space="preserve">inhabit </w:t>
      </w:r>
      <w:r w:rsidR="00F739C3">
        <w:rPr>
          <w:sz w:val="24"/>
          <w:szCs w:val="24"/>
        </w:rPr>
        <w:t>KAWW. In addition, s</w:t>
      </w:r>
      <w:r w:rsidRPr="007C3719">
        <w:rPr>
          <w:sz w:val="24"/>
          <w:szCs w:val="24"/>
        </w:rPr>
        <w:t>eventy-eight bird species are known to breed in the area,</w:t>
      </w:r>
      <w:r w:rsidR="00F739C3">
        <w:rPr>
          <w:sz w:val="24"/>
          <w:szCs w:val="24"/>
        </w:rPr>
        <w:t xml:space="preserve"> with some uncommon boreal species, like the boreal chickadee and the </w:t>
      </w:r>
      <w:r w:rsidR="00D66ED7">
        <w:rPr>
          <w:sz w:val="24"/>
          <w:szCs w:val="24"/>
        </w:rPr>
        <w:t xml:space="preserve">black backed woodpecker. </w:t>
      </w:r>
    </w:p>
    <w:p w14:paraId="61F4A43B" w14:textId="77777777" w:rsidR="007C3719" w:rsidRPr="007C3719" w:rsidRDefault="007C3719" w:rsidP="007C3719">
      <w:pPr>
        <w:rPr>
          <w:sz w:val="24"/>
          <w:szCs w:val="24"/>
        </w:rPr>
      </w:pPr>
    </w:p>
    <w:p w14:paraId="6A16A8FC" w14:textId="07D46979" w:rsidR="007C3719" w:rsidRPr="007C3719" w:rsidRDefault="007C3719" w:rsidP="007C3719">
      <w:pPr>
        <w:rPr>
          <w:sz w:val="24"/>
          <w:szCs w:val="24"/>
        </w:rPr>
      </w:pPr>
      <w:r w:rsidRPr="007C3719">
        <w:rPr>
          <w:sz w:val="24"/>
          <w:szCs w:val="24"/>
        </w:rPr>
        <w:t xml:space="preserve">Although </w:t>
      </w:r>
      <w:r w:rsidR="00593FED">
        <w:rPr>
          <w:sz w:val="24"/>
          <w:szCs w:val="24"/>
        </w:rPr>
        <w:t>over 90%</w:t>
      </w:r>
      <w:r w:rsidR="00593FED" w:rsidRPr="007C3719">
        <w:rPr>
          <w:sz w:val="24"/>
          <w:szCs w:val="24"/>
        </w:rPr>
        <w:t xml:space="preserve"> </w:t>
      </w:r>
      <w:r w:rsidRPr="007C3719">
        <w:rPr>
          <w:sz w:val="24"/>
          <w:szCs w:val="24"/>
        </w:rPr>
        <w:t xml:space="preserve">of </w:t>
      </w:r>
      <w:r w:rsidR="00593FED">
        <w:rPr>
          <w:sz w:val="24"/>
          <w:szCs w:val="24"/>
        </w:rPr>
        <w:t>KAWW has</w:t>
      </w:r>
      <w:r w:rsidRPr="007C3719">
        <w:rPr>
          <w:sz w:val="24"/>
          <w:szCs w:val="24"/>
        </w:rPr>
        <w:t xml:space="preserve"> been logged in</w:t>
      </w:r>
      <w:r w:rsidR="00593FED">
        <w:rPr>
          <w:sz w:val="24"/>
          <w:szCs w:val="24"/>
        </w:rPr>
        <w:t xml:space="preserve"> the past 15-25</w:t>
      </w:r>
      <w:r w:rsidRPr="007C3719">
        <w:rPr>
          <w:sz w:val="24"/>
          <w:szCs w:val="24"/>
        </w:rPr>
        <w:t xml:space="preserve"> years, the regenerating forests retain connectivity and </w:t>
      </w:r>
      <w:r w:rsidR="00805458">
        <w:rPr>
          <w:sz w:val="24"/>
          <w:szCs w:val="24"/>
        </w:rPr>
        <w:t>contain</w:t>
      </w:r>
      <w:r w:rsidR="00805458" w:rsidRPr="007C3719">
        <w:rPr>
          <w:sz w:val="24"/>
          <w:szCs w:val="24"/>
        </w:rPr>
        <w:t xml:space="preserve"> </w:t>
      </w:r>
      <w:r w:rsidRPr="007C3719">
        <w:rPr>
          <w:sz w:val="24"/>
          <w:szCs w:val="24"/>
        </w:rPr>
        <w:t xml:space="preserve">significant biodiversity among plant and animal communities, </w:t>
      </w:r>
      <w:r w:rsidR="00593FED">
        <w:rPr>
          <w:sz w:val="24"/>
          <w:szCs w:val="24"/>
        </w:rPr>
        <w:t>demonstrating</w:t>
      </w:r>
      <w:r w:rsidR="00593FED" w:rsidRPr="007C3719">
        <w:rPr>
          <w:sz w:val="24"/>
          <w:szCs w:val="24"/>
        </w:rPr>
        <w:t xml:space="preserve"> </w:t>
      </w:r>
      <w:r w:rsidRPr="007C3719">
        <w:rPr>
          <w:sz w:val="24"/>
          <w:szCs w:val="24"/>
        </w:rPr>
        <w:t xml:space="preserve">their ecological resilience. </w:t>
      </w:r>
      <w:r w:rsidR="00135CBD">
        <w:rPr>
          <w:sz w:val="24"/>
          <w:szCs w:val="24"/>
        </w:rPr>
        <w:t xml:space="preserve">Additional work is focused on improving aquatic connectivity of the Penobscot River within and downstream of the park. </w:t>
      </w:r>
      <w:r w:rsidRPr="007C3719">
        <w:rPr>
          <w:sz w:val="24"/>
          <w:szCs w:val="24"/>
        </w:rPr>
        <w:t>This river restoration</w:t>
      </w:r>
      <w:r w:rsidR="00593FED">
        <w:rPr>
          <w:sz w:val="24"/>
          <w:szCs w:val="24"/>
        </w:rPr>
        <w:t xml:space="preserve"> effort</w:t>
      </w:r>
      <w:r w:rsidRPr="007C3719">
        <w:rPr>
          <w:sz w:val="24"/>
          <w:szCs w:val="24"/>
        </w:rPr>
        <w:t xml:space="preserve"> </w:t>
      </w:r>
      <w:r w:rsidR="00593FED">
        <w:rPr>
          <w:sz w:val="24"/>
          <w:szCs w:val="24"/>
        </w:rPr>
        <w:t>continues to</w:t>
      </w:r>
      <w:r w:rsidRPr="007C3719">
        <w:rPr>
          <w:sz w:val="24"/>
          <w:szCs w:val="24"/>
        </w:rPr>
        <w:t xml:space="preserve"> enhance the integrity of the Penobscot East Branch river system, and allow federally endangered Atlantic salmon to return to the upper reaches of the river known in the Penobscot language as </w:t>
      </w:r>
      <w:r>
        <w:rPr>
          <w:sz w:val="24"/>
          <w:szCs w:val="24"/>
        </w:rPr>
        <w:t>“</w:t>
      </w:r>
      <w:r w:rsidRPr="007C3719">
        <w:rPr>
          <w:sz w:val="24"/>
          <w:szCs w:val="24"/>
        </w:rPr>
        <w:t>Wassetegweweck,</w:t>
      </w:r>
      <w:r>
        <w:rPr>
          <w:sz w:val="24"/>
          <w:szCs w:val="24"/>
        </w:rPr>
        <w:t>”</w:t>
      </w:r>
      <w:r w:rsidRPr="007C3719">
        <w:rPr>
          <w:sz w:val="24"/>
          <w:szCs w:val="24"/>
        </w:rPr>
        <w:t xml:space="preserve"> or </w:t>
      </w:r>
      <w:r>
        <w:rPr>
          <w:sz w:val="24"/>
          <w:szCs w:val="24"/>
        </w:rPr>
        <w:t>“</w:t>
      </w:r>
      <w:r w:rsidRPr="007C3719">
        <w:rPr>
          <w:sz w:val="24"/>
          <w:szCs w:val="24"/>
        </w:rPr>
        <w:t>the place where they spear fish.</w:t>
      </w:r>
      <w:r>
        <w:rPr>
          <w:sz w:val="24"/>
          <w:szCs w:val="24"/>
        </w:rPr>
        <w:t>”</w:t>
      </w:r>
      <w:r w:rsidRPr="007C3719">
        <w:rPr>
          <w:sz w:val="24"/>
          <w:szCs w:val="24"/>
        </w:rPr>
        <w:t xml:space="preserve"> Atlantic salmon </w:t>
      </w:r>
      <w:r w:rsidR="00593FED">
        <w:rPr>
          <w:sz w:val="24"/>
          <w:szCs w:val="24"/>
        </w:rPr>
        <w:t xml:space="preserve">restoration efforts include ongoing bridge and culvert replacements to improve salmon passage into tributaries of the river systesm. </w:t>
      </w:r>
      <w:r w:rsidR="00F739C3">
        <w:rPr>
          <w:sz w:val="24"/>
          <w:szCs w:val="24"/>
        </w:rPr>
        <w:t xml:space="preserve">This work is complimentary to </w:t>
      </w:r>
      <w:r w:rsidRPr="007C3719">
        <w:rPr>
          <w:sz w:val="24"/>
          <w:szCs w:val="24"/>
        </w:rPr>
        <w:t xml:space="preserve"> the exceptional native brook trout fishery for which K</w:t>
      </w:r>
      <w:r w:rsidR="00F739C3">
        <w:rPr>
          <w:sz w:val="24"/>
          <w:szCs w:val="24"/>
        </w:rPr>
        <w:t xml:space="preserve">AWW is known for. </w:t>
      </w:r>
    </w:p>
    <w:p w14:paraId="025DB281" w14:textId="77777777" w:rsidR="007C3719" w:rsidRPr="007C3719" w:rsidRDefault="007C3719" w:rsidP="007C3719">
      <w:pPr>
        <w:rPr>
          <w:sz w:val="24"/>
          <w:szCs w:val="24"/>
        </w:rPr>
      </w:pPr>
    </w:p>
    <w:p w14:paraId="0A74E17A" w14:textId="77777777" w:rsidR="007C3719" w:rsidRPr="007C3719" w:rsidRDefault="007C3719" w:rsidP="007C3719">
      <w:pPr>
        <w:rPr>
          <w:sz w:val="24"/>
          <w:szCs w:val="24"/>
        </w:rPr>
      </w:pPr>
    </w:p>
    <w:p w14:paraId="05F92DA0" w14:textId="77777777" w:rsidR="007C3719" w:rsidRPr="005205A0" w:rsidRDefault="007C3719">
      <w:pPr>
        <w:rPr>
          <w:sz w:val="24"/>
          <w:szCs w:val="24"/>
        </w:rPr>
      </w:pPr>
    </w:p>
    <w:sectPr w:rsidR="007C3719" w:rsidRPr="005205A0" w:rsidSect="00127149">
      <w:headerReference w:type="even" r:id="rId20"/>
      <w:headerReference w:type="default" r:id="rId21"/>
      <w:endnotePr>
        <w:numFmt w:val="decimal"/>
      </w:endnotePr>
      <w:pgSz w:w="12240" w:h="15840"/>
      <w:pgMar w:top="1080" w:right="1440" w:bottom="1440" w:left="1440" w:header="108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8A775" w14:textId="77777777" w:rsidR="007065E9" w:rsidRDefault="007065E9">
      <w:r>
        <w:separator/>
      </w:r>
    </w:p>
  </w:endnote>
  <w:endnote w:type="continuationSeparator" w:id="0">
    <w:p w14:paraId="4F7036F6" w14:textId="77777777" w:rsidR="007065E9" w:rsidRDefault="0070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B44DF" w14:textId="77777777" w:rsidR="007065E9" w:rsidRDefault="007065E9">
      <w:r>
        <w:separator/>
      </w:r>
    </w:p>
  </w:footnote>
  <w:footnote w:type="continuationSeparator" w:id="0">
    <w:p w14:paraId="35808EDE" w14:textId="77777777" w:rsidR="007065E9" w:rsidRDefault="007065E9">
      <w:r>
        <w:continuationSeparator/>
      </w:r>
    </w:p>
  </w:footnote>
  <w:footnote w:id="1">
    <w:p w14:paraId="35923538" w14:textId="31E95B01" w:rsidR="00573227" w:rsidRDefault="00573227">
      <w:pPr>
        <w:pStyle w:val="FootnoteText"/>
      </w:pPr>
      <w:r w:rsidRPr="00805458">
        <w:rPr>
          <w:rStyle w:val="FootnoteReference"/>
          <w:vertAlign w:val="superscript"/>
        </w:rPr>
        <w:footnoteRef/>
      </w:r>
      <w:r>
        <w:t xml:space="preserve"> Katahdin, in the language of the Penobscot Nation, is translated as “Greatest Mountain”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BD2F" w14:textId="77777777" w:rsidR="003502A9" w:rsidRDefault="003502A9">
    <w:pPr>
      <w:pStyle w:val="Header"/>
      <w:framePr w:wrap="around" w:vAnchor="text" w:hAnchor="margin" w:xAlign="right"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1</w:t>
    </w:r>
    <w:r>
      <w:rPr>
        <w:rStyle w:val="PageNumber"/>
        <w:sz w:val="19"/>
      </w:rPr>
      <w:fldChar w:fldCharType="end"/>
    </w:r>
  </w:p>
  <w:p w14:paraId="1C35768A" w14:textId="77777777" w:rsidR="003502A9" w:rsidRDefault="003502A9">
    <w:pPr>
      <w:pStyle w:val="Header"/>
      <w:ind w:right="360"/>
      <w:rPr>
        <w:sz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ADB7" w14:textId="77777777" w:rsidR="003502A9" w:rsidRDefault="003502A9">
    <w:pPr>
      <w:pStyle w:val="Header"/>
      <w:framePr w:wrap="around" w:vAnchor="text" w:hAnchor="margin" w:xAlign="right"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sidR="006B44F7">
      <w:rPr>
        <w:rStyle w:val="PageNumber"/>
        <w:noProof/>
        <w:sz w:val="19"/>
      </w:rPr>
      <w:t>2</w:t>
    </w:r>
    <w:r>
      <w:rPr>
        <w:rStyle w:val="PageNumber"/>
        <w:sz w:val="19"/>
      </w:rPr>
      <w:fldChar w:fldCharType="end"/>
    </w:r>
  </w:p>
  <w:p w14:paraId="24F411E9" w14:textId="77777777" w:rsidR="003502A9" w:rsidRDefault="003502A9">
    <w:pPr>
      <w:pStyle w:val="Header"/>
      <w:ind w:right="360"/>
      <w:rPr>
        <w:sz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414E"/>
    <w:multiLevelType w:val="hybridMultilevel"/>
    <w:tmpl w:val="262018E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F35E9"/>
    <w:multiLevelType w:val="hybridMultilevel"/>
    <w:tmpl w:val="B57CE1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285757"/>
    <w:multiLevelType w:val="hybridMultilevel"/>
    <w:tmpl w:val="B5980D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56585"/>
    <w:multiLevelType w:val="hybridMultilevel"/>
    <w:tmpl w:val="BA0267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F4A17"/>
    <w:multiLevelType w:val="hybridMultilevel"/>
    <w:tmpl w:val="4ED49B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7452B"/>
    <w:multiLevelType w:val="hybridMultilevel"/>
    <w:tmpl w:val="80C6BF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44CCA"/>
    <w:multiLevelType w:val="hybridMultilevel"/>
    <w:tmpl w:val="71DC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D21C3"/>
    <w:multiLevelType w:val="hybridMultilevel"/>
    <w:tmpl w:val="BA1EBD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CE42E8"/>
    <w:multiLevelType w:val="hybridMultilevel"/>
    <w:tmpl w:val="F6362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FF1126"/>
    <w:multiLevelType w:val="hybridMultilevel"/>
    <w:tmpl w:val="F0D0F9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3534A2"/>
    <w:multiLevelType w:val="hybridMultilevel"/>
    <w:tmpl w:val="FE56E09A"/>
    <w:lvl w:ilvl="0" w:tplc="13761DAE">
      <w:start w:val="1"/>
      <w:numFmt w:val="decimal"/>
      <w:lvlText w:val="%1)"/>
      <w:lvlJc w:val="left"/>
      <w:pPr>
        <w:ind w:left="720" w:hanging="360"/>
      </w:pPr>
      <w:rPr>
        <w:rFonts w:ascii="Times New Roman" w:hAnsi="Times New Roman"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D7E6462"/>
    <w:multiLevelType w:val="hybridMultilevel"/>
    <w:tmpl w:val="B658CB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1A4D1A"/>
    <w:multiLevelType w:val="hybridMultilevel"/>
    <w:tmpl w:val="D4544E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2764E7"/>
    <w:multiLevelType w:val="hybridMultilevel"/>
    <w:tmpl w:val="A2D42F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163E4C"/>
    <w:multiLevelType w:val="hybridMultilevel"/>
    <w:tmpl w:val="B7443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6C6E2E"/>
    <w:multiLevelType w:val="hybridMultilevel"/>
    <w:tmpl w:val="3D2298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56671C"/>
    <w:multiLevelType w:val="hybridMultilevel"/>
    <w:tmpl w:val="E5C41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1711772">
    <w:abstractNumId w:val="6"/>
  </w:num>
  <w:num w:numId="2" w16cid:durableId="229270428">
    <w:abstractNumId w:val="1"/>
  </w:num>
  <w:num w:numId="3" w16cid:durableId="627781349">
    <w:abstractNumId w:val="0"/>
  </w:num>
  <w:num w:numId="4" w16cid:durableId="1042365660">
    <w:abstractNumId w:val="8"/>
  </w:num>
  <w:num w:numId="5" w16cid:durableId="2140799610">
    <w:abstractNumId w:val="9"/>
  </w:num>
  <w:num w:numId="6" w16cid:durableId="1099448597">
    <w:abstractNumId w:val="15"/>
  </w:num>
  <w:num w:numId="7" w16cid:durableId="2080908634">
    <w:abstractNumId w:val="12"/>
  </w:num>
  <w:num w:numId="8" w16cid:durableId="862405052">
    <w:abstractNumId w:val="3"/>
  </w:num>
  <w:num w:numId="9" w16cid:durableId="226261977">
    <w:abstractNumId w:val="14"/>
  </w:num>
  <w:num w:numId="10" w16cid:durableId="181482973">
    <w:abstractNumId w:val="4"/>
  </w:num>
  <w:num w:numId="11" w16cid:durableId="495413385">
    <w:abstractNumId w:val="13"/>
  </w:num>
  <w:num w:numId="12" w16cid:durableId="173154883">
    <w:abstractNumId w:val="7"/>
  </w:num>
  <w:num w:numId="13" w16cid:durableId="522519611">
    <w:abstractNumId w:val="11"/>
  </w:num>
  <w:num w:numId="14" w16cid:durableId="1988970593">
    <w:abstractNumId w:val="5"/>
  </w:num>
  <w:num w:numId="15" w16cid:durableId="1855654531">
    <w:abstractNumId w:val="16"/>
  </w:num>
  <w:num w:numId="16" w16cid:durableId="106238545">
    <w:abstractNumId w:val="2"/>
  </w:num>
  <w:num w:numId="17" w16cid:durableId="18339083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515"/>
    <w:rsid w:val="0000717D"/>
    <w:rsid w:val="00024C84"/>
    <w:rsid w:val="00052345"/>
    <w:rsid w:val="00056924"/>
    <w:rsid w:val="000F1439"/>
    <w:rsid w:val="000F3E04"/>
    <w:rsid w:val="000F3F9A"/>
    <w:rsid w:val="00104E63"/>
    <w:rsid w:val="00117E82"/>
    <w:rsid w:val="00127149"/>
    <w:rsid w:val="00135CBD"/>
    <w:rsid w:val="001420DA"/>
    <w:rsid w:val="001643CA"/>
    <w:rsid w:val="001A43E7"/>
    <w:rsid w:val="00201F02"/>
    <w:rsid w:val="002117F4"/>
    <w:rsid w:val="00214668"/>
    <w:rsid w:val="002172C2"/>
    <w:rsid w:val="00244FE0"/>
    <w:rsid w:val="00251A7B"/>
    <w:rsid w:val="00253140"/>
    <w:rsid w:val="002576BD"/>
    <w:rsid w:val="002740FB"/>
    <w:rsid w:val="0028492D"/>
    <w:rsid w:val="00297007"/>
    <w:rsid w:val="002B6C77"/>
    <w:rsid w:val="002C5D3C"/>
    <w:rsid w:val="00302041"/>
    <w:rsid w:val="003201C0"/>
    <w:rsid w:val="00340939"/>
    <w:rsid w:val="003502A9"/>
    <w:rsid w:val="003A5E60"/>
    <w:rsid w:val="003C2504"/>
    <w:rsid w:val="003C2C9A"/>
    <w:rsid w:val="003C4191"/>
    <w:rsid w:val="003F11A7"/>
    <w:rsid w:val="003F72FA"/>
    <w:rsid w:val="00443C7B"/>
    <w:rsid w:val="00467AFD"/>
    <w:rsid w:val="00467FED"/>
    <w:rsid w:val="004A4DAD"/>
    <w:rsid w:val="004C6F92"/>
    <w:rsid w:val="004D7B52"/>
    <w:rsid w:val="004F4F53"/>
    <w:rsid w:val="005205A0"/>
    <w:rsid w:val="00561770"/>
    <w:rsid w:val="00573200"/>
    <w:rsid w:val="00573227"/>
    <w:rsid w:val="005928FD"/>
    <w:rsid w:val="00593FED"/>
    <w:rsid w:val="0059495D"/>
    <w:rsid w:val="005D3BD1"/>
    <w:rsid w:val="00602DAD"/>
    <w:rsid w:val="00612237"/>
    <w:rsid w:val="00660614"/>
    <w:rsid w:val="006B3FD4"/>
    <w:rsid w:val="006B44F7"/>
    <w:rsid w:val="006B66A6"/>
    <w:rsid w:val="006B66D3"/>
    <w:rsid w:val="006F3382"/>
    <w:rsid w:val="006F3B3F"/>
    <w:rsid w:val="007065E9"/>
    <w:rsid w:val="00706A5F"/>
    <w:rsid w:val="00730D71"/>
    <w:rsid w:val="00730F8F"/>
    <w:rsid w:val="00752E15"/>
    <w:rsid w:val="00767DD8"/>
    <w:rsid w:val="007C000F"/>
    <w:rsid w:val="007C3719"/>
    <w:rsid w:val="007D1147"/>
    <w:rsid w:val="00805458"/>
    <w:rsid w:val="00826AEE"/>
    <w:rsid w:val="008273E3"/>
    <w:rsid w:val="00835747"/>
    <w:rsid w:val="00873EB0"/>
    <w:rsid w:val="008A63F5"/>
    <w:rsid w:val="008B768B"/>
    <w:rsid w:val="008D05B4"/>
    <w:rsid w:val="008D6D44"/>
    <w:rsid w:val="0093422D"/>
    <w:rsid w:val="00956A98"/>
    <w:rsid w:val="0098372B"/>
    <w:rsid w:val="00997FF5"/>
    <w:rsid w:val="009B5FDD"/>
    <w:rsid w:val="009D5B23"/>
    <w:rsid w:val="00A15EFE"/>
    <w:rsid w:val="00A21964"/>
    <w:rsid w:val="00A26012"/>
    <w:rsid w:val="00A27620"/>
    <w:rsid w:val="00A44ADA"/>
    <w:rsid w:val="00A931DB"/>
    <w:rsid w:val="00AA362E"/>
    <w:rsid w:val="00AB4A98"/>
    <w:rsid w:val="00AB6611"/>
    <w:rsid w:val="00AD577B"/>
    <w:rsid w:val="00AD6674"/>
    <w:rsid w:val="00AF0A90"/>
    <w:rsid w:val="00B012E9"/>
    <w:rsid w:val="00B06425"/>
    <w:rsid w:val="00B10397"/>
    <w:rsid w:val="00B15CBB"/>
    <w:rsid w:val="00B276FB"/>
    <w:rsid w:val="00B31D29"/>
    <w:rsid w:val="00B41103"/>
    <w:rsid w:val="00B448F7"/>
    <w:rsid w:val="00B46DB6"/>
    <w:rsid w:val="00B72DC5"/>
    <w:rsid w:val="00B862AF"/>
    <w:rsid w:val="00BA15CC"/>
    <w:rsid w:val="00BA7EB6"/>
    <w:rsid w:val="00BB11EC"/>
    <w:rsid w:val="00BD0C1D"/>
    <w:rsid w:val="00C20733"/>
    <w:rsid w:val="00C311FA"/>
    <w:rsid w:val="00C3523B"/>
    <w:rsid w:val="00C648A4"/>
    <w:rsid w:val="00C73025"/>
    <w:rsid w:val="00CC777D"/>
    <w:rsid w:val="00CF0D4D"/>
    <w:rsid w:val="00D01097"/>
    <w:rsid w:val="00D11974"/>
    <w:rsid w:val="00D2724C"/>
    <w:rsid w:val="00D51515"/>
    <w:rsid w:val="00D6461E"/>
    <w:rsid w:val="00D66ED7"/>
    <w:rsid w:val="00D97EF3"/>
    <w:rsid w:val="00DD746C"/>
    <w:rsid w:val="00E06ED0"/>
    <w:rsid w:val="00E15A3B"/>
    <w:rsid w:val="00E5067F"/>
    <w:rsid w:val="00E57BF6"/>
    <w:rsid w:val="00E63252"/>
    <w:rsid w:val="00E65358"/>
    <w:rsid w:val="00E67BFC"/>
    <w:rsid w:val="00EA1145"/>
    <w:rsid w:val="00ED5A69"/>
    <w:rsid w:val="00EF6102"/>
    <w:rsid w:val="00F22A3A"/>
    <w:rsid w:val="00F354EB"/>
    <w:rsid w:val="00F67A5A"/>
    <w:rsid w:val="00F72045"/>
    <w:rsid w:val="00F722A8"/>
    <w:rsid w:val="00F739C3"/>
    <w:rsid w:val="00F85FA2"/>
    <w:rsid w:val="00F9530E"/>
    <w:rsid w:val="00F957C3"/>
    <w:rsid w:val="00F95AA0"/>
    <w:rsid w:val="00FC312E"/>
    <w:rsid w:val="00FC470A"/>
    <w:rsid w:val="00FD07C5"/>
    <w:rsid w:val="00FD1545"/>
    <w:rsid w:val="00FD1EC7"/>
    <w:rsid w:val="00FF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F7741A"/>
  <w15:chartTrackingRefBased/>
  <w15:docId w15:val="{7851D1C8-7D26-44D3-A4D4-F468F101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widowControl w:val="0"/>
      <w:jc w:val="both"/>
      <w:outlineLvl w:val="0"/>
    </w:pPr>
    <w:rPr>
      <w:b/>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spacing w:line="480" w:lineRule="auto"/>
    </w:pPr>
    <w:rPr>
      <w:rFonts w:ascii="Courier" w:hAnsi="Courier"/>
    </w:rPr>
  </w:style>
  <w:style w:type="paragraph" w:styleId="Title">
    <w:name w:val="Title"/>
    <w:basedOn w:val="Normal"/>
    <w:qFormat/>
    <w:pPr>
      <w:widowControl w:val="0"/>
      <w:jc w:val="center"/>
    </w:pPr>
    <w:rPr>
      <w:rFonts w:ascii="CG Times" w:hAnsi="CG Times"/>
      <w:sz w:val="36"/>
    </w:rPr>
  </w:style>
  <w:style w:type="character" w:styleId="Hyperlink">
    <w:name w:val="Hyperlink"/>
    <w:rsid w:val="00D51515"/>
    <w:rPr>
      <w:color w:val="0000FF"/>
      <w:u w:val="single"/>
    </w:rPr>
  </w:style>
  <w:style w:type="paragraph" w:styleId="ListParagraph">
    <w:name w:val="List Paragraph"/>
    <w:basedOn w:val="Normal"/>
    <w:uiPriority w:val="34"/>
    <w:qFormat/>
    <w:rsid w:val="00F67A5A"/>
    <w:pPr>
      <w:spacing w:after="160" w:line="259" w:lineRule="auto"/>
      <w:ind w:left="720"/>
      <w:contextualSpacing/>
    </w:pPr>
    <w:rPr>
      <w:rFonts w:eastAsia="Calibri"/>
      <w:sz w:val="24"/>
      <w:szCs w:val="22"/>
    </w:rPr>
  </w:style>
  <w:style w:type="character" w:styleId="UnresolvedMention">
    <w:name w:val="Unresolved Mention"/>
    <w:uiPriority w:val="99"/>
    <w:semiHidden/>
    <w:unhideWhenUsed/>
    <w:rsid w:val="00297007"/>
    <w:rPr>
      <w:color w:val="605E5C"/>
      <w:shd w:val="clear" w:color="auto" w:fill="E1DFDD"/>
    </w:rPr>
  </w:style>
  <w:style w:type="character" w:styleId="FollowedHyperlink">
    <w:name w:val="FollowedHyperlink"/>
    <w:uiPriority w:val="99"/>
    <w:semiHidden/>
    <w:unhideWhenUsed/>
    <w:rsid w:val="00297007"/>
    <w:rPr>
      <w:color w:val="954F72"/>
      <w:u w:val="single"/>
    </w:rPr>
  </w:style>
  <w:style w:type="character" w:styleId="CommentReference">
    <w:name w:val="annotation reference"/>
    <w:uiPriority w:val="99"/>
    <w:semiHidden/>
    <w:unhideWhenUsed/>
    <w:rsid w:val="00F722A8"/>
    <w:rPr>
      <w:sz w:val="16"/>
      <w:szCs w:val="16"/>
    </w:rPr>
  </w:style>
  <w:style w:type="paragraph" w:styleId="CommentText">
    <w:name w:val="annotation text"/>
    <w:basedOn w:val="Normal"/>
    <w:link w:val="CommentTextChar"/>
    <w:uiPriority w:val="99"/>
    <w:unhideWhenUsed/>
    <w:rsid w:val="00F722A8"/>
  </w:style>
  <w:style w:type="character" w:customStyle="1" w:styleId="CommentTextChar">
    <w:name w:val="Comment Text Char"/>
    <w:basedOn w:val="DefaultParagraphFont"/>
    <w:link w:val="CommentText"/>
    <w:uiPriority w:val="99"/>
    <w:rsid w:val="00F722A8"/>
  </w:style>
  <w:style w:type="paragraph" w:styleId="CommentSubject">
    <w:name w:val="annotation subject"/>
    <w:basedOn w:val="CommentText"/>
    <w:next w:val="CommentText"/>
    <w:link w:val="CommentSubjectChar"/>
    <w:uiPriority w:val="99"/>
    <w:semiHidden/>
    <w:unhideWhenUsed/>
    <w:rsid w:val="00F722A8"/>
    <w:rPr>
      <w:b/>
      <w:bCs/>
    </w:rPr>
  </w:style>
  <w:style w:type="character" w:customStyle="1" w:styleId="CommentSubjectChar">
    <w:name w:val="Comment Subject Char"/>
    <w:link w:val="CommentSubject"/>
    <w:uiPriority w:val="99"/>
    <w:semiHidden/>
    <w:rsid w:val="00F722A8"/>
    <w:rPr>
      <w:b/>
      <w:bCs/>
    </w:rPr>
  </w:style>
  <w:style w:type="paragraph" w:styleId="Revision">
    <w:name w:val="Revision"/>
    <w:hidden/>
    <w:uiPriority w:val="99"/>
    <w:semiHidden/>
    <w:rsid w:val="00443C7B"/>
  </w:style>
  <w:style w:type="paragraph" w:styleId="FootnoteText">
    <w:name w:val="footnote text"/>
    <w:basedOn w:val="Normal"/>
    <w:link w:val="FootnoteTextChar"/>
    <w:uiPriority w:val="99"/>
    <w:semiHidden/>
    <w:unhideWhenUsed/>
    <w:rsid w:val="00573227"/>
  </w:style>
  <w:style w:type="character" w:customStyle="1" w:styleId="FootnoteTextChar">
    <w:name w:val="Footnote Text Char"/>
    <w:basedOn w:val="DefaultParagraphFont"/>
    <w:link w:val="FootnoteText"/>
    <w:uiPriority w:val="99"/>
    <w:semiHidden/>
    <w:rsid w:val="00573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nps.gov/subjects/science/upload/NRCA-Development-Guide_2023.docx"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s://irma.nps.gov/DataStore/Reference/Profile/2301194" TargetMode="External"/><Relationship Id="rId2" Type="http://schemas.openxmlformats.org/officeDocument/2006/relationships/customXml" Target="../customXml/item2.xml"/><Relationship Id="rId16" Type="http://schemas.openxmlformats.org/officeDocument/2006/relationships/hyperlink" Target="https://irma.nps.gov/DataStore/Reference/Profile/230056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nps.gov/subjects/science/nrca.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brian_mitchell@np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ps.gov/subjects/science/upload/NRCA-Development-Guide_2023.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ED3776A25A7841B5C01F82C8764E43" ma:contentTypeVersion="2" ma:contentTypeDescription="Create a new document." ma:contentTypeScope="" ma:versionID="75f32e96799b3058be02d3e49ea2bce6">
  <xsd:schema xmlns:xsd="http://www.w3.org/2001/XMLSchema" xmlns:xs="http://www.w3.org/2001/XMLSchema" xmlns:p="http://schemas.microsoft.com/office/2006/metadata/properties" xmlns:ns2="02d90440-14ff-4f55-ae0f-14ba46d48955" targetNamespace="http://schemas.microsoft.com/office/2006/metadata/properties" ma:root="true" ma:fieldsID="394f72a30a03d1024e5238154907203e" ns2:_="">
    <xsd:import namespace="02d90440-14ff-4f55-ae0f-14ba46d4895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90440-14ff-4f55-ae0f-14ba46d489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4FDA0D-26E7-45BC-BD56-C63A523F3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d90440-14ff-4f55-ae0f-14ba46d48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12CB6D-093F-40F1-8796-1599DF115FDF}">
  <ds:schemaRefs>
    <ds:schemaRef ds:uri="http://schemas.openxmlformats.org/officeDocument/2006/bibliography"/>
  </ds:schemaRefs>
</ds:datastoreItem>
</file>

<file path=customXml/itemProps3.xml><?xml version="1.0" encoding="utf-8"?>
<ds:datastoreItem xmlns:ds="http://schemas.openxmlformats.org/officeDocument/2006/customXml" ds:itemID="{B1065115-5699-412B-9977-D453CEDA92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2819AD-1E4B-4786-943C-FFDF192220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United States Department of the Interior</vt:lpstr>
    </vt:vector>
  </TitlesOfParts>
  <Company>National Park Service</Company>
  <LinksUpToDate>false</LinksUpToDate>
  <CharactersWithSpaces>10485</CharactersWithSpaces>
  <SharedDoc>false</SharedDoc>
  <HLinks>
    <vt:vector size="12" baseType="variant">
      <vt:variant>
        <vt:i4>7012479</vt:i4>
      </vt:variant>
      <vt:variant>
        <vt:i4>3</vt:i4>
      </vt:variant>
      <vt:variant>
        <vt:i4>0</vt:i4>
      </vt:variant>
      <vt:variant>
        <vt:i4>5</vt:i4>
      </vt:variant>
      <vt:variant>
        <vt:lpwstr>mailto:brian_mitchell@nps.gov</vt:lpwstr>
      </vt:variant>
      <vt:variant>
        <vt:lpwstr/>
      </vt:variant>
      <vt:variant>
        <vt:i4>4587549</vt:i4>
      </vt:variant>
      <vt:variant>
        <vt:i4>0</vt:i4>
      </vt:variant>
      <vt:variant>
        <vt:i4>0</vt:i4>
      </vt:variant>
      <vt:variant>
        <vt:i4>5</vt:i4>
      </vt:variant>
      <vt:variant>
        <vt:lpwstr>https://esajournals.onlinelibrary.wiley.com/doi/full/10.1002/eap.2837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the Interior</dc:title>
  <dc:subject/>
  <dc:creator>Johnnie M. Smith</dc:creator>
  <cp:keywords/>
  <cp:lastModifiedBy>Mitchell, Brian R</cp:lastModifiedBy>
  <cp:revision>6</cp:revision>
  <cp:lastPrinted>2004-11-30T17:10:00Z</cp:lastPrinted>
  <dcterms:created xsi:type="dcterms:W3CDTF">2023-11-15T19:05:00Z</dcterms:created>
  <dcterms:modified xsi:type="dcterms:W3CDTF">2023-11-20T22:30:00Z</dcterms:modified>
</cp:coreProperties>
</file>