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63A" w:rsidRPr="0033040B" w:rsidRDefault="00FD2988" w:rsidP="0033040B">
      <w:pPr>
        <w:spacing w:after="0" w:line="240" w:lineRule="auto"/>
        <w:jc w:val="center"/>
        <w:rPr>
          <w:rFonts w:ascii="Times New Roman" w:hAnsi="Times New Roman" w:cs="Times New Roman"/>
          <w:b/>
          <w:sz w:val="24"/>
          <w:szCs w:val="24"/>
        </w:rPr>
      </w:pPr>
      <w:r w:rsidRPr="0033040B">
        <w:rPr>
          <w:rFonts w:ascii="Times New Roman" w:hAnsi="Times New Roman" w:cs="Times New Roman"/>
          <w:b/>
          <w:sz w:val="24"/>
          <w:szCs w:val="24"/>
        </w:rPr>
        <w:t xml:space="preserve">Faculty Workload </w:t>
      </w:r>
      <w:r w:rsidR="00E92747">
        <w:rPr>
          <w:rFonts w:ascii="Times New Roman" w:hAnsi="Times New Roman" w:cs="Times New Roman"/>
          <w:b/>
          <w:sz w:val="24"/>
          <w:szCs w:val="24"/>
        </w:rPr>
        <w:t xml:space="preserve">Guidelines </w:t>
      </w:r>
      <w:r w:rsidRPr="0033040B">
        <w:rPr>
          <w:rFonts w:ascii="Times New Roman" w:hAnsi="Times New Roman" w:cs="Times New Roman"/>
          <w:b/>
          <w:sz w:val="24"/>
          <w:szCs w:val="24"/>
        </w:rPr>
        <w:t>in the</w:t>
      </w:r>
      <w:r w:rsidR="00C7663A" w:rsidRPr="0033040B">
        <w:rPr>
          <w:rFonts w:ascii="Times New Roman" w:hAnsi="Times New Roman" w:cs="Times New Roman"/>
          <w:b/>
          <w:sz w:val="24"/>
          <w:szCs w:val="24"/>
        </w:rPr>
        <w:t xml:space="preserve"> Institute of Technology</w:t>
      </w:r>
      <w:r w:rsidR="005B1625">
        <w:rPr>
          <w:rFonts w:ascii="Times New Roman" w:hAnsi="Times New Roman" w:cs="Times New Roman"/>
          <w:b/>
          <w:sz w:val="24"/>
          <w:szCs w:val="24"/>
        </w:rPr>
        <w:t>, UWT</w:t>
      </w:r>
    </w:p>
    <w:p w:rsidR="005B1625" w:rsidRPr="00C7663A" w:rsidRDefault="005B1625" w:rsidP="005B16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Approved by the Institute faculty on </w:t>
      </w:r>
      <w:r w:rsidR="00E33E4E">
        <w:rPr>
          <w:rFonts w:ascii="Times New Roman" w:hAnsi="Times New Roman" w:cs="Times New Roman"/>
          <w:sz w:val="24"/>
          <w:szCs w:val="24"/>
        </w:rPr>
        <w:t>February 1</w:t>
      </w:r>
      <w:r>
        <w:rPr>
          <w:rFonts w:ascii="Times New Roman" w:hAnsi="Times New Roman" w:cs="Times New Roman"/>
          <w:sz w:val="24"/>
          <w:szCs w:val="24"/>
        </w:rPr>
        <w:t>1</w:t>
      </w:r>
      <w:r w:rsidR="00C7663A">
        <w:rPr>
          <w:rFonts w:ascii="Times New Roman" w:hAnsi="Times New Roman" w:cs="Times New Roman"/>
          <w:sz w:val="24"/>
          <w:szCs w:val="24"/>
        </w:rPr>
        <w:t>, 20</w:t>
      </w:r>
      <w:r w:rsidR="00E33E4E">
        <w:rPr>
          <w:rFonts w:ascii="Times New Roman" w:hAnsi="Times New Roman" w:cs="Times New Roman"/>
          <w:sz w:val="24"/>
          <w:szCs w:val="24"/>
        </w:rPr>
        <w:t>11</w:t>
      </w:r>
    </w:p>
    <w:p w:rsidR="00C7663A" w:rsidRPr="00C7663A" w:rsidRDefault="00C7663A" w:rsidP="00C7663A">
      <w:pPr>
        <w:spacing w:after="0" w:line="240" w:lineRule="auto"/>
        <w:rPr>
          <w:rFonts w:ascii="Times New Roman" w:hAnsi="Times New Roman" w:cs="Times New Roman"/>
          <w:sz w:val="24"/>
          <w:szCs w:val="24"/>
        </w:rPr>
      </w:pPr>
    </w:p>
    <w:p w:rsidR="00C7663A" w:rsidRPr="00C7663A" w:rsidRDefault="00C7663A" w:rsidP="00C7663A">
      <w:pPr>
        <w:spacing w:after="0" w:line="240" w:lineRule="auto"/>
        <w:rPr>
          <w:rFonts w:ascii="Times New Roman" w:hAnsi="Times New Roman" w:cs="Times New Roman"/>
          <w:b/>
          <w:sz w:val="24"/>
          <w:szCs w:val="24"/>
        </w:rPr>
      </w:pPr>
      <w:r w:rsidRPr="00C7663A">
        <w:rPr>
          <w:rFonts w:ascii="Times New Roman" w:hAnsi="Times New Roman" w:cs="Times New Roman"/>
          <w:b/>
          <w:sz w:val="24"/>
          <w:szCs w:val="24"/>
        </w:rPr>
        <w:t>Rationale</w:t>
      </w:r>
    </w:p>
    <w:p w:rsidR="00C7663A" w:rsidRPr="00C7663A" w:rsidRDefault="00C7663A" w:rsidP="00C7663A">
      <w:pPr>
        <w:spacing w:after="0" w:line="240" w:lineRule="auto"/>
        <w:rPr>
          <w:rFonts w:ascii="Times New Roman" w:hAnsi="Times New Roman" w:cs="Times New Roman"/>
          <w:sz w:val="24"/>
          <w:szCs w:val="24"/>
        </w:rPr>
      </w:pPr>
    </w:p>
    <w:p w:rsidR="00C7663A" w:rsidRDefault="00C7663A" w:rsidP="00C12C5E">
      <w:pPr>
        <w:spacing w:after="0" w:line="240" w:lineRule="auto"/>
        <w:ind w:firstLine="720"/>
        <w:rPr>
          <w:rFonts w:ascii="Times New Roman" w:hAnsi="Times New Roman" w:cs="Times New Roman"/>
          <w:sz w:val="24"/>
          <w:szCs w:val="24"/>
        </w:rPr>
      </w:pPr>
      <w:r w:rsidRPr="00C7663A">
        <w:rPr>
          <w:rFonts w:ascii="Times New Roman" w:hAnsi="Times New Roman" w:cs="Times New Roman"/>
          <w:sz w:val="24"/>
          <w:szCs w:val="24"/>
        </w:rPr>
        <w:t xml:space="preserve">The goal of a faculty workload policy </w:t>
      </w:r>
      <w:r w:rsidR="003D3F22">
        <w:rPr>
          <w:rFonts w:ascii="Times New Roman" w:hAnsi="Times New Roman" w:cs="Times New Roman"/>
          <w:sz w:val="24"/>
          <w:szCs w:val="24"/>
        </w:rPr>
        <w:t xml:space="preserve">or set of guidelines </w:t>
      </w:r>
      <w:r w:rsidRPr="00C7663A">
        <w:rPr>
          <w:rFonts w:ascii="Times New Roman" w:hAnsi="Times New Roman" w:cs="Times New Roman"/>
          <w:sz w:val="24"/>
          <w:szCs w:val="24"/>
        </w:rPr>
        <w:t>is to express formally what</w:t>
      </w:r>
      <w:r>
        <w:rPr>
          <w:rFonts w:ascii="Times New Roman" w:hAnsi="Times New Roman" w:cs="Times New Roman"/>
          <w:sz w:val="24"/>
          <w:szCs w:val="24"/>
        </w:rPr>
        <w:t xml:space="preserve"> </w:t>
      </w:r>
      <w:r w:rsidRPr="00C7663A">
        <w:rPr>
          <w:rFonts w:ascii="Times New Roman" w:hAnsi="Times New Roman" w:cs="Times New Roman"/>
          <w:sz w:val="24"/>
          <w:szCs w:val="24"/>
        </w:rPr>
        <w:t xml:space="preserve">we </w:t>
      </w:r>
      <w:r w:rsidR="002E78CD" w:rsidRPr="00C7663A">
        <w:rPr>
          <w:rFonts w:ascii="Times New Roman" w:hAnsi="Times New Roman" w:cs="Times New Roman"/>
          <w:sz w:val="24"/>
          <w:szCs w:val="24"/>
        </w:rPr>
        <w:t xml:space="preserve">collectively </w:t>
      </w:r>
      <w:r w:rsidRPr="00C7663A">
        <w:rPr>
          <w:rFonts w:ascii="Times New Roman" w:hAnsi="Times New Roman" w:cs="Times New Roman"/>
          <w:sz w:val="24"/>
          <w:szCs w:val="24"/>
        </w:rPr>
        <w:t xml:space="preserve">value in terms of faculty work. A clear policy </w:t>
      </w:r>
      <w:r w:rsidR="002C437B">
        <w:rPr>
          <w:rFonts w:ascii="Times New Roman" w:hAnsi="Times New Roman" w:cs="Times New Roman"/>
          <w:sz w:val="24"/>
          <w:szCs w:val="24"/>
        </w:rPr>
        <w:t xml:space="preserve">or set of guidelines </w:t>
      </w:r>
      <w:r w:rsidR="00F13C73">
        <w:rPr>
          <w:rFonts w:ascii="Times New Roman" w:hAnsi="Times New Roman" w:cs="Times New Roman"/>
          <w:sz w:val="24"/>
          <w:szCs w:val="24"/>
        </w:rPr>
        <w:t xml:space="preserve">in a program </w:t>
      </w:r>
      <w:r w:rsidRPr="00C7663A">
        <w:rPr>
          <w:rFonts w:ascii="Times New Roman" w:hAnsi="Times New Roman" w:cs="Times New Roman"/>
          <w:sz w:val="24"/>
          <w:szCs w:val="24"/>
        </w:rPr>
        <w:t>will</w:t>
      </w:r>
      <w:r>
        <w:rPr>
          <w:rFonts w:ascii="Times New Roman" w:hAnsi="Times New Roman" w:cs="Times New Roman"/>
          <w:sz w:val="24"/>
          <w:szCs w:val="24"/>
        </w:rPr>
        <w:t xml:space="preserve"> </w:t>
      </w:r>
      <w:r w:rsidR="00E03A0E">
        <w:rPr>
          <w:rFonts w:ascii="Times New Roman" w:hAnsi="Times New Roman" w:cs="Times New Roman"/>
          <w:sz w:val="24"/>
          <w:szCs w:val="24"/>
        </w:rPr>
        <w:t>help</w:t>
      </w:r>
      <w:r w:rsidRPr="00C7663A">
        <w:rPr>
          <w:rFonts w:ascii="Times New Roman" w:hAnsi="Times New Roman" w:cs="Times New Roman"/>
          <w:sz w:val="24"/>
          <w:szCs w:val="24"/>
        </w:rPr>
        <w:t xml:space="preserve"> </w:t>
      </w:r>
      <w:r w:rsidR="00E03A0E">
        <w:rPr>
          <w:rFonts w:ascii="Times New Roman" w:hAnsi="Times New Roman" w:cs="Times New Roman"/>
          <w:sz w:val="24"/>
          <w:szCs w:val="24"/>
        </w:rPr>
        <w:t xml:space="preserve">the </w:t>
      </w:r>
      <w:r w:rsidRPr="00C7663A">
        <w:rPr>
          <w:rFonts w:ascii="Times New Roman" w:hAnsi="Times New Roman" w:cs="Times New Roman"/>
          <w:sz w:val="24"/>
          <w:szCs w:val="24"/>
        </w:rPr>
        <w:t xml:space="preserve">Director, who </w:t>
      </w:r>
      <w:r w:rsidR="00E03A0E">
        <w:rPr>
          <w:rFonts w:ascii="Times New Roman" w:hAnsi="Times New Roman" w:cs="Times New Roman"/>
          <w:sz w:val="24"/>
          <w:szCs w:val="24"/>
        </w:rPr>
        <w:t xml:space="preserve">is </w:t>
      </w:r>
      <w:r w:rsidR="00AD74BB">
        <w:rPr>
          <w:rFonts w:ascii="Times New Roman" w:hAnsi="Times New Roman" w:cs="Times New Roman"/>
          <w:sz w:val="24"/>
          <w:szCs w:val="24"/>
        </w:rPr>
        <w:t xml:space="preserve">formally </w:t>
      </w:r>
      <w:r w:rsidRPr="00C7663A">
        <w:rPr>
          <w:rFonts w:ascii="Times New Roman" w:hAnsi="Times New Roman" w:cs="Times New Roman"/>
          <w:sz w:val="24"/>
          <w:szCs w:val="24"/>
        </w:rPr>
        <w:t xml:space="preserve">responsible for </w:t>
      </w:r>
      <w:r w:rsidR="004E160C">
        <w:rPr>
          <w:rFonts w:ascii="Times New Roman" w:hAnsi="Times New Roman" w:cs="Times New Roman"/>
          <w:sz w:val="24"/>
          <w:szCs w:val="24"/>
        </w:rPr>
        <w:t>teaching and service</w:t>
      </w:r>
      <w:r w:rsidRPr="00C7663A">
        <w:rPr>
          <w:rFonts w:ascii="Times New Roman" w:hAnsi="Times New Roman" w:cs="Times New Roman"/>
          <w:sz w:val="24"/>
          <w:szCs w:val="24"/>
        </w:rPr>
        <w:t xml:space="preserve"> assignments to</w:t>
      </w:r>
      <w:r w:rsidR="006613C8">
        <w:rPr>
          <w:rFonts w:ascii="Times New Roman" w:hAnsi="Times New Roman" w:cs="Times New Roman"/>
          <w:sz w:val="24"/>
          <w:szCs w:val="24"/>
        </w:rPr>
        <w:t xml:space="preserve"> </w:t>
      </w:r>
      <w:r w:rsidRPr="00C7663A">
        <w:rPr>
          <w:rFonts w:ascii="Times New Roman" w:hAnsi="Times New Roman" w:cs="Times New Roman"/>
          <w:sz w:val="24"/>
          <w:szCs w:val="24"/>
        </w:rPr>
        <w:t xml:space="preserve">faculty, make equitable decisions. No policy </w:t>
      </w:r>
      <w:r w:rsidR="002C437B">
        <w:rPr>
          <w:rFonts w:ascii="Times New Roman" w:hAnsi="Times New Roman" w:cs="Times New Roman"/>
          <w:sz w:val="24"/>
          <w:szCs w:val="24"/>
        </w:rPr>
        <w:t xml:space="preserve">or set of guidelines </w:t>
      </w:r>
      <w:r w:rsidRPr="00C7663A">
        <w:rPr>
          <w:rFonts w:ascii="Times New Roman" w:hAnsi="Times New Roman" w:cs="Times New Roman"/>
          <w:sz w:val="24"/>
          <w:szCs w:val="24"/>
        </w:rPr>
        <w:t>can fully capture</w:t>
      </w:r>
      <w:r>
        <w:rPr>
          <w:rFonts w:ascii="Times New Roman" w:hAnsi="Times New Roman" w:cs="Times New Roman"/>
          <w:sz w:val="24"/>
          <w:szCs w:val="24"/>
        </w:rPr>
        <w:t xml:space="preserve"> </w:t>
      </w:r>
      <w:r w:rsidRPr="00C7663A">
        <w:rPr>
          <w:rFonts w:ascii="Times New Roman" w:hAnsi="Times New Roman" w:cs="Times New Roman"/>
          <w:sz w:val="24"/>
          <w:szCs w:val="24"/>
        </w:rPr>
        <w:t xml:space="preserve">the subtleties of faculty workload. Rather, the goal </w:t>
      </w:r>
      <w:r w:rsidR="00B622F6">
        <w:rPr>
          <w:rFonts w:ascii="Times New Roman" w:hAnsi="Times New Roman" w:cs="Times New Roman"/>
          <w:sz w:val="24"/>
          <w:szCs w:val="24"/>
        </w:rPr>
        <w:t xml:space="preserve">here </w:t>
      </w:r>
      <w:r w:rsidRPr="00C7663A">
        <w:rPr>
          <w:rFonts w:ascii="Times New Roman" w:hAnsi="Times New Roman" w:cs="Times New Roman"/>
          <w:sz w:val="24"/>
          <w:szCs w:val="24"/>
        </w:rPr>
        <w:t>is</w:t>
      </w:r>
      <w:r>
        <w:rPr>
          <w:rFonts w:ascii="Times New Roman" w:hAnsi="Times New Roman" w:cs="Times New Roman"/>
          <w:sz w:val="24"/>
          <w:szCs w:val="24"/>
        </w:rPr>
        <w:t xml:space="preserve"> </w:t>
      </w:r>
      <w:r w:rsidRPr="00C7663A">
        <w:rPr>
          <w:rFonts w:ascii="Times New Roman" w:hAnsi="Times New Roman" w:cs="Times New Roman"/>
          <w:sz w:val="24"/>
          <w:szCs w:val="24"/>
        </w:rPr>
        <w:t xml:space="preserve">to ensure that the load of any faculty </w:t>
      </w:r>
      <w:r w:rsidR="007C272C">
        <w:rPr>
          <w:rFonts w:ascii="Times New Roman" w:hAnsi="Times New Roman" w:cs="Times New Roman"/>
          <w:sz w:val="24"/>
          <w:szCs w:val="24"/>
        </w:rPr>
        <w:t xml:space="preserve">does not </w:t>
      </w:r>
      <w:r w:rsidRPr="00C7663A">
        <w:rPr>
          <w:rFonts w:ascii="Times New Roman" w:hAnsi="Times New Roman" w:cs="Times New Roman"/>
          <w:sz w:val="24"/>
          <w:szCs w:val="24"/>
        </w:rPr>
        <w:t>deviate</w:t>
      </w:r>
      <w:r w:rsidR="007C272C">
        <w:rPr>
          <w:rFonts w:ascii="Times New Roman" w:hAnsi="Times New Roman" w:cs="Times New Roman"/>
          <w:sz w:val="24"/>
          <w:szCs w:val="24"/>
        </w:rPr>
        <w:t xml:space="preserve"> </w:t>
      </w:r>
      <w:r w:rsidRPr="00C7663A">
        <w:rPr>
          <w:rFonts w:ascii="Times New Roman" w:hAnsi="Times New Roman" w:cs="Times New Roman"/>
          <w:sz w:val="24"/>
          <w:szCs w:val="24"/>
        </w:rPr>
        <w:t>significantly from</w:t>
      </w:r>
      <w:r w:rsidR="007C272C">
        <w:rPr>
          <w:rFonts w:ascii="Times New Roman" w:hAnsi="Times New Roman" w:cs="Times New Roman"/>
          <w:sz w:val="24"/>
          <w:szCs w:val="24"/>
        </w:rPr>
        <w:t xml:space="preserve"> </w:t>
      </w:r>
      <w:r w:rsidRPr="00C7663A">
        <w:rPr>
          <w:rFonts w:ascii="Times New Roman" w:hAnsi="Times New Roman" w:cs="Times New Roman"/>
          <w:sz w:val="24"/>
          <w:szCs w:val="24"/>
        </w:rPr>
        <w:t>accepted norms without some good reason.</w:t>
      </w:r>
    </w:p>
    <w:p w:rsidR="002013F3" w:rsidRDefault="002013F3" w:rsidP="00C12C5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AAUP’s “Statement on Faculty Workload with Interpretive Comments” suggests maximum and preferred teaching loads for faculty. The guidelines here are consistent with those suggestions. The Statement also suggests a general method by which workload is determined.</w:t>
      </w:r>
    </w:p>
    <w:p w:rsidR="002013F3" w:rsidRDefault="002013F3" w:rsidP="00C12C5E">
      <w:pPr>
        <w:spacing w:after="0" w:line="240" w:lineRule="auto"/>
        <w:ind w:firstLine="720"/>
        <w:rPr>
          <w:rFonts w:ascii="Times New Roman" w:hAnsi="Times New Roman" w:cs="Times New Roman"/>
          <w:sz w:val="24"/>
          <w:szCs w:val="24"/>
        </w:rPr>
      </w:pPr>
    </w:p>
    <w:p w:rsidR="002013F3" w:rsidRDefault="002013F3" w:rsidP="00AD74BB">
      <w:pPr>
        <w:spacing w:after="0" w:line="240" w:lineRule="auto"/>
        <w:ind w:left="720" w:right="720" w:firstLine="288"/>
        <w:jc w:val="both"/>
        <w:rPr>
          <w:rFonts w:ascii="Times New Roman" w:hAnsi="Times New Roman" w:cs="Times New Roman"/>
          <w:sz w:val="20"/>
          <w:szCs w:val="20"/>
        </w:rPr>
      </w:pPr>
      <w:r w:rsidRPr="002013F3">
        <w:rPr>
          <w:rFonts w:ascii="Times New Roman" w:hAnsi="Times New Roman" w:cs="Times New Roman"/>
          <w:sz w:val="20"/>
          <w:szCs w:val="20"/>
        </w:rPr>
        <w:t>The faculty should</w:t>
      </w:r>
      <w:r>
        <w:rPr>
          <w:rFonts w:ascii="Times New Roman" w:hAnsi="Times New Roman" w:cs="Times New Roman"/>
          <w:sz w:val="20"/>
          <w:szCs w:val="20"/>
        </w:rPr>
        <w:t xml:space="preserve"> participate fully in the determination of workload policy, both initially and in all subsequent reappraisals. Reappraisal at regular intervals is essential, in order that </w:t>
      </w:r>
      <w:r w:rsidR="00AD74BB">
        <w:rPr>
          <w:rFonts w:ascii="Times New Roman" w:hAnsi="Times New Roman" w:cs="Times New Roman"/>
          <w:sz w:val="20"/>
          <w:szCs w:val="20"/>
        </w:rPr>
        <w:t>older</w:t>
      </w:r>
      <w:r>
        <w:rPr>
          <w:rFonts w:ascii="Times New Roman" w:hAnsi="Times New Roman" w:cs="Times New Roman"/>
          <w:sz w:val="20"/>
          <w:szCs w:val="20"/>
        </w:rPr>
        <w:t xml:space="preserve"> patterns of faculty responsibility may be adjusted to changes in the institution’s size, structure, academic programs, and facilities. Current policy and practices should be made known clearly to all faculty members, including those new to the institution each year.</w:t>
      </w:r>
    </w:p>
    <w:p w:rsidR="00AD74BB" w:rsidRPr="002013F3" w:rsidRDefault="00AD74BB" w:rsidP="00AD74BB">
      <w:pPr>
        <w:spacing w:after="0" w:line="240" w:lineRule="auto"/>
        <w:ind w:left="720" w:right="720" w:firstLine="288"/>
        <w:jc w:val="both"/>
        <w:rPr>
          <w:rFonts w:ascii="Times New Roman" w:hAnsi="Times New Roman" w:cs="Times New Roman"/>
          <w:sz w:val="20"/>
          <w:szCs w:val="20"/>
        </w:rPr>
      </w:pPr>
      <w:r>
        <w:rPr>
          <w:rFonts w:ascii="Times New Roman" w:hAnsi="Times New Roman" w:cs="Times New Roman"/>
          <w:sz w:val="20"/>
          <w:szCs w:val="20"/>
        </w:rPr>
        <w:t>The individual may have several quite different duties, some of which may be highly specialized, and the weight of these duties may vary strikingly at different times during the year. It is important, therefore, that individual workloads be determined by, or in cons</w:t>
      </w:r>
      <w:r w:rsidR="00741F70">
        <w:rPr>
          <w:rFonts w:ascii="Times New Roman" w:hAnsi="Times New Roman" w:cs="Times New Roman"/>
          <w:sz w:val="20"/>
          <w:szCs w:val="20"/>
        </w:rPr>
        <w:t>ultation with, the department or</w:t>
      </w:r>
      <w:r>
        <w:rPr>
          <w:rFonts w:ascii="Times New Roman" w:hAnsi="Times New Roman" w:cs="Times New Roman"/>
          <w:sz w:val="20"/>
          <w:szCs w:val="20"/>
        </w:rPr>
        <w:t xml:space="preserve"> other academic unit most familiar with the demands involved. Those responsible should be allowed a measure of latitude in making individual assignments, and care should be taken that all of the individual’s services to the institution are considered.</w:t>
      </w:r>
    </w:p>
    <w:p w:rsidR="002013F3" w:rsidRDefault="002013F3" w:rsidP="00C12C5E">
      <w:pPr>
        <w:spacing w:after="0" w:line="240" w:lineRule="auto"/>
        <w:ind w:firstLine="720"/>
        <w:rPr>
          <w:rFonts w:ascii="Times New Roman" w:hAnsi="Times New Roman" w:cs="Times New Roman"/>
          <w:sz w:val="24"/>
          <w:szCs w:val="24"/>
        </w:rPr>
      </w:pPr>
    </w:p>
    <w:p w:rsidR="00C7663A" w:rsidRDefault="00AD74BB" w:rsidP="00C12C5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This document is an implementation of the AAUP suggestion for the Institute of Technology at the University of Washington Tacoma. </w:t>
      </w:r>
      <w:r w:rsidR="00C7663A" w:rsidRPr="00C7663A">
        <w:rPr>
          <w:rFonts w:ascii="Times New Roman" w:hAnsi="Times New Roman" w:cs="Times New Roman"/>
          <w:sz w:val="24"/>
          <w:szCs w:val="24"/>
        </w:rPr>
        <w:t>With a few exceptions, this document describes teaching and service</w:t>
      </w:r>
      <w:r w:rsidR="00C7663A">
        <w:rPr>
          <w:rFonts w:ascii="Times New Roman" w:hAnsi="Times New Roman" w:cs="Times New Roman"/>
          <w:sz w:val="24"/>
          <w:szCs w:val="24"/>
        </w:rPr>
        <w:t xml:space="preserve"> </w:t>
      </w:r>
      <w:r w:rsidR="00C7663A" w:rsidRPr="00C7663A">
        <w:rPr>
          <w:rFonts w:ascii="Times New Roman" w:hAnsi="Times New Roman" w:cs="Times New Roman"/>
          <w:sz w:val="24"/>
          <w:szCs w:val="24"/>
        </w:rPr>
        <w:t>workloads</w:t>
      </w:r>
      <w:r w:rsidR="00342825">
        <w:rPr>
          <w:rFonts w:ascii="Times New Roman" w:hAnsi="Times New Roman" w:cs="Times New Roman"/>
          <w:sz w:val="24"/>
          <w:szCs w:val="24"/>
        </w:rPr>
        <w:t xml:space="preserve"> only</w:t>
      </w:r>
      <w:r w:rsidR="00C7663A" w:rsidRPr="00C7663A">
        <w:rPr>
          <w:rFonts w:ascii="Times New Roman" w:hAnsi="Times New Roman" w:cs="Times New Roman"/>
          <w:sz w:val="24"/>
          <w:szCs w:val="24"/>
        </w:rPr>
        <w:t xml:space="preserve">. The expectation is </w:t>
      </w:r>
      <w:r w:rsidR="00FA0B64">
        <w:rPr>
          <w:rFonts w:ascii="Times New Roman" w:hAnsi="Times New Roman" w:cs="Times New Roman"/>
          <w:sz w:val="24"/>
          <w:szCs w:val="24"/>
        </w:rPr>
        <w:t xml:space="preserve">that </w:t>
      </w:r>
      <w:r w:rsidR="002C437B">
        <w:rPr>
          <w:rFonts w:ascii="Times New Roman" w:hAnsi="Times New Roman" w:cs="Times New Roman"/>
          <w:sz w:val="24"/>
          <w:szCs w:val="24"/>
        </w:rPr>
        <w:t>with the</w:t>
      </w:r>
      <w:r w:rsidR="00C7663A" w:rsidRPr="00C7663A">
        <w:rPr>
          <w:rFonts w:ascii="Times New Roman" w:hAnsi="Times New Roman" w:cs="Times New Roman"/>
          <w:sz w:val="24"/>
          <w:szCs w:val="24"/>
        </w:rPr>
        <w:t xml:space="preserve"> </w:t>
      </w:r>
      <w:r w:rsidR="002C437B">
        <w:rPr>
          <w:rFonts w:ascii="Times New Roman" w:hAnsi="Times New Roman" w:cs="Times New Roman"/>
          <w:sz w:val="24"/>
          <w:szCs w:val="24"/>
        </w:rPr>
        <w:t xml:space="preserve">teaching and service </w:t>
      </w:r>
      <w:r w:rsidR="00C7663A" w:rsidRPr="00C7663A">
        <w:rPr>
          <w:rFonts w:ascii="Times New Roman" w:hAnsi="Times New Roman" w:cs="Times New Roman"/>
          <w:sz w:val="24"/>
          <w:szCs w:val="24"/>
        </w:rPr>
        <w:t>workload</w:t>
      </w:r>
      <w:r w:rsidR="002C437B">
        <w:rPr>
          <w:rFonts w:ascii="Times New Roman" w:hAnsi="Times New Roman" w:cs="Times New Roman"/>
          <w:sz w:val="24"/>
          <w:szCs w:val="24"/>
        </w:rPr>
        <w:t xml:space="preserve"> described here, faculty will have e</w:t>
      </w:r>
      <w:r w:rsidR="00C7663A" w:rsidRPr="00C7663A">
        <w:rPr>
          <w:rFonts w:ascii="Times New Roman" w:hAnsi="Times New Roman" w:cs="Times New Roman"/>
          <w:sz w:val="24"/>
          <w:szCs w:val="24"/>
        </w:rPr>
        <w:t>nough time to pursue their scholarship.</w:t>
      </w:r>
      <w:r w:rsidR="00B80C3D">
        <w:rPr>
          <w:rFonts w:ascii="Times New Roman" w:hAnsi="Times New Roman" w:cs="Times New Roman"/>
          <w:sz w:val="24"/>
          <w:szCs w:val="24"/>
        </w:rPr>
        <w:t xml:space="preserve"> This document is intended to be used as a guide for teaching and service assignments</w:t>
      </w:r>
      <w:r w:rsidR="00EE5E0B">
        <w:rPr>
          <w:rFonts w:ascii="Times New Roman" w:hAnsi="Times New Roman" w:cs="Times New Roman"/>
          <w:sz w:val="24"/>
          <w:szCs w:val="24"/>
        </w:rPr>
        <w:t xml:space="preserve">, as these are the areas where assignments are made </w:t>
      </w:r>
      <w:r w:rsidR="00DD16A7">
        <w:rPr>
          <w:rFonts w:ascii="Times New Roman" w:hAnsi="Times New Roman" w:cs="Times New Roman"/>
          <w:sz w:val="24"/>
          <w:szCs w:val="24"/>
        </w:rPr>
        <w:t>collectively</w:t>
      </w:r>
      <w:r w:rsidR="00B80C3D">
        <w:rPr>
          <w:rFonts w:ascii="Times New Roman" w:hAnsi="Times New Roman" w:cs="Times New Roman"/>
          <w:sz w:val="24"/>
          <w:szCs w:val="24"/>
        </w:rPr>
        <w:t xml:space="preserve">. </w:t>
      </w:r>
      <w:r w:rsidR="00B80C3D" w:rsidRPr="002E59B5">
        <w:rPr>
          <w:rFonts w:ascii="Times New Roman" w:hAnsi="Times New Roman" w:cs="Times New Roman"/>
          <w:i/>
          <w:sz w:val="24"/>
          <w:szCs w:val="24"/>
        </w:rPr>
        <w:t xml:space="preserve">It is not </w:t>
      </w:r>
      <w:r w:rsidR="007A1378" w:rsidRPr="002E59B5">
        <w:rPr>
          <w:rFonts w:ascii="Times New Roman" w:hAnsi="Times New Roman" w:cs="Times New Roman"/>
          <w:i/>
          <w:sz w:val="24"/>
          <w:szCs w:val="24"/>
        </w:rPr>
        <w:t>intended</w:t>
      </w:r>
      <w:r w:rsidR="00B80C3D" w:rsidRPr="002E59B5">
        <w:rPr>
          <w:rFonts w:ascii="Times New Roman" w:hAnsi="Times New Roman" w:cs="Times New Roman"/>
          <w:i/>
          <w:sz w:val="24"/>
          <w:szCs w:val="24"/>
        </w:rPr>
        <w:t xml:space="preserve"> to be a substitute for other program </w:t>
      </w:r>
      <w:r w:rsidR="00673E62" w:rsidRPr="002E59B5">
        <w:rPr>
          <w:rFonts w:ascii="Times New Roman" w:hAnsi="Times New Roman" w:cs="Times New Roman"/>
          <w:i/>
          <w:sz w:val="24"/>
          <w:szCs w:val="24"/>
        </w:rPr>
        <w:t xml:space="preserve">and University </w:t>
      </w:r>
      <w:r w:rsidR="00B80C3D" w:rsidRPr="002E59B5">
        <w:rPr>
          <w:rFonts w:ascii="Times New Roman" w:hAnsi="Times New Roman" w:cs="Times New Roman"/>
          <w:i/>
          <w:sz w:val="24"/>
          <w:szCs w:val="24"/>
        </w:rPr>
        <w:t>processes</w:t>
      </w:r>
      <w:r w:rsidR="00B80C3D">
        <w:rPr>
          <w:rFonts w:ascii="Times New Roman" w:hAnsi="Times New Roman" w:cs="Times New Roman"/>
          <w:sz w:val="24"/>
          <w:szCs w:val="24"/>
        </w:rPr>
        <w:t>, such as: the annual review process, collegial evaluation</w:t>
      </w:r>
      <w:r w:rsidR="005E646C">
        <w:rPr>
          <w:rFonts w:ascii="Times New Roman" w:hAnsi="Times New Roman" w:cs="Times New Roman"/>
          <w:sz w:val="24"/>
          <w:szCs w:val="24"/>
        </w:rPr>
        <w:t xml:space="preserve"> of teaching</w:t>
      </w:r>
      <w:r w:rsidR="00B80C3D">
        <w:rPr>
          <w:rFonts w:ascii="Times New Roman" w:hAnsi="Times New Roman" w:cs="Times New Roman"/>
          <w:sz w:val="24"/>
          <w:szCs w:val="24"/>
        </w:rPr>
        <w:t xml:space="preserve">, determination of merit, </w:t>
      </w:r>
      <w:r w:rsidR="00F25466">
        <w:rPr>
          <w:rFonts w:ascii="Times New Roman" w:hAnsi="Times New Roman" w:cs="Times New Roman"/>
          <w:sz w:val="24"/>
          <w:szCs w:val="24"/>
        </w:rPr>
        <w:t xml:space="preserve">and </w:t>
      </w:r>
      <w:r w:rsidR="00B80C3D">
        <w:rPr>
          <w:rFonts w:ascii="Times New Roman" w:hAnsi="Times New Roman" w:cs="Times New Roman"/>
          <w:sz w:val="24"/>
          <w:szCs w:val="24"/>
        </w:rPr>
        <w:t>the tenure and promotion process.</w:t>
      </w:r>
    </w:p>
    <w:p w:rsidR="0069351A" w:rsidRPr="00C7663A" w:rsidRDefault="0069351A" w:rsidP="00C12C5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Each </w:t>
      </w:r>
      <w:r w:rsidR="00BF7330">
        <w:rPr>
          <w:rFonts w:ascii="Times New Roman" w:hAnsi="Times New Roman" w:cs="Times New Roman"/>
          <w:sz w:val="24"/>
          <w:szCs w:val="24"/>
        </w:rPr>
        <w:t xml:space="preserve">full-time </w:t>
      </w:r>
      <w:r>
        <w:rPr>
          <w:rFonts w:ascii="Times New Roman" w:hAnsi="Times New Roman" w:cs="Times New Roman"/>
          <w:sz w:val="24"/>
          <w:szCs w:val="24"/>
        </w:rPr>
        <w:t xml:space="preserve">faculty member (tenured, tenure-track, lecturer) will be expected to have a teaching </w:t>
      </w:r>
      <w:r w:rsidR="00F554A9">
        <w:rPr>
          <w:rFonts w:ascii="Times New Roman" w:hAnsi="Times New Roman" w:cs="Times New Roman"/>
          <w:sz w:val="24"/>
          <w:szCs w:val="24"/>
        </w:rPr>
        <w:t xml:space="preserve">and service </w:t>
      </w:r>
      <w:r>
        <w:rPr>
          <w:rFonts w:ascii="Times New Roman" w:hAnsi="Times New Roman" w:cs="Times New Roman"/>
          <w:sz w:val="24"/>
          <w:szCs w:val="24"/>
        </w:rPr>
        <w:t xml:space="preserve">load commensurate with the position: </w:t>
      </w:r>
      <w:r w:rsidRPr="00C7663A">
        <w:rPr>
          <w:rFonts w:ascii="Times New Roman" w:hAnsi="Times New Roman" w:cs="Times New Roman"/>
          <w:sz w:val="24"/>
          <w:szCs w:val="24"/>
        </w:rPr>
        <w:t>C = 6 for tenured and</w:t>
      </w:r>
      <w:r>
        <w:rPr>
          <w:rFonts w:ascii="Times New Roman" w:hAnsi="Times New Roman" w:cs="Times New Roman"/>
          <w:sz w:val="24"/>
          <w:szCs w:val="24"/>
        </w:rPr>
        <w:t xml:space="preserve"> </w:t>
      </w:r>
      <w:r w:rsidRPr="00C7663A">
        <w:rPr>
          <w:rFonts w:ascii="Times New Roman" w:hAnsi="Times New Roman" w:cs="Times New Roman"/>
          <w:sz w:val="24"/>
          <w:szCs w:val="24"/>
        </w:rPr>
        <w:t>tenure-track, and C = 7 for lecturers</w:t>
      </w:r>
      <w:r>
        <w:rPr>
          <w:rFonts w:ascii="Times New Roman" w:hAnsi="Times New Roman" w:cs="Times New Roman"/>
          <w:sz w:val="24"/>
          <w:szCs w:val="24"/>
        </w:rPr>
        <w:t xml:space="preserve">. Activities earn “credit” based on the type of activity. </w:t>
      </w:r>
      <w:r w:rsidR="00A21992">
        <w:rPr>
          <w:rFonts w:ascii="Times New Roman" w:hAnsi="Times New Roman" w:cs="Times New Roman"/>
          <w:sz w:val="24"/>
          <w:szCs w:val="24"/>
        </w:rPr>
        <w:t>The primary f</w:t>
      </w:r>
      <w:r>
        <w:rPr>
          <w:rFonts w:ascii="Times New Roman" w:hAnsi="Times New Roman" w:cs="Times New Roman"/>
          <w:sz w:val="24"/>
          <w:szCs w:val="24"/>
        </w:rPr>
        <w:t>actors that are used to determine the credit amounts are the revenue that such activities create for the university and the time it takes for a faculty member to execute that activity.</w:t>
      </w:r>
    </w:p>
    <w:p w:rsidR="00C7663A" w:rsidRDefault="00C7663A" w:rsidP="00C7663A">
      <w:pPr>
        <w:spacing w:after="0" w:line="240" w:lineRule="auto"/>
        <w:rPr>
          <w:rFonts w:ascii="Times New Roman" w:hAnsi="Times New Roman" w:cs="Times New Roman"/>
          <w:sz w:val="24"/>
          <w:szCs w:val="24"/>
        </w:rPr>
      </w:pPr>
    </w:p>
    <w:p w:rsidR="00EE5E0B" w:rsidRPr="00EE5E0B" w:rsidRDefault="00EE5E0B" w:rsidP="00C7663A">
      <w:pPr>
        <w:spacing w:after="0" w:line="240" w:lineRule="auto"/>
        <w:rPr>
          <w:rFonts w:ascii="Times New Roman" w:hAnsi="Times New Roman" w:cs="Times New Roman"/>
          <w:b/>
          <w:sz w:val="24"/>
          <w:szCs w:val="24"/>
        </w:rPr>
      </w:pPr>
      <w:r>
        <w:rPr>
          <w:rFonts w:ascii="Times New Roman" w:hAnsi="Times New Roman" w:cs="Times New Roman"/>
          <w:b/>
          <w:sz w:val="24"/>
          <w:szCs w:val="24"/>
        </w:rPr>
        <w:t>List of Credit-bearing Activities</w:t>
      </w:r>
    </w:p>
    <w:p w:rsidR="00EE5E0B" w:rsidRDefault="00EE5E0B" w:rsidP="00C7663A">
      <w:pPr>
        <w:spacing w:after="0" w:line="240" w:lineRule="auto"/>
        <w:rPr>
          <w:rFonts w:ascii="Times New Roman" w:hAnsi="Times New Roman" w:cs="Times New Roman"/>
          <w:b/>
          <w:sz w:val="24"/>
          <w:szCs w:val="24"/>
        </w:rPr>
      </w:pPr>
    </w:p>
    <w:p w:rsidR="00EE5E0B" w:rsidRPr="00EE5E0B" w:rsidRDefault="00EE5E0B" w:rsidP="00EE5E0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What follows is a list of </w:t>
      </w:r>
      <w:r w:rsidR="00790B09">
        <w:rPr>
          <w:rFonts w:ascii="Times New Roman" w:hAnsi="Times New Roman" w:cs="Times New Roman"/>
          <w:sz w:val="24"/>
          <w:szCs w:val="24"/>
        </w:rPr>
        <w:t xml:space="preserve">teaching </w:t>
      </w:r>
      <w:r>
        <w:rPr>
          <w:rFonts w:ascii="Times New Roman" w:hAnsi="Times New Roman" w:cs="Times New Roman"/>
          <w:sz w:val="24"/>
          <w:szCs w:val="24"/>
        </w:rPr>
        <w:t>activities and the credit associated with each one.</w:t>
      </w:r>
    </w:p>
    <w:p w:rsidR="00EE5E0B" w:rsidRDefault="00EE5E0B" w:rsidP="00C7663A">
      <w:pPr>
        <w:spacing w:after="0" w:line="240" w:lineRule="auto"/>
        <w:rPr>
          <w:rFonts w:ascii="Times New Roman" w:hAnsi="Times New Roman" w:cs="Times New Roman"/>
          <w:b/>
          <w:sz w:val="24"/>
          <w:szCs w:val="24"/>
        </w:rPr>
      </w:pPr>
    </w:p>
    <w:p w:rsidR="00C7663A" w:rsidRPr="00790B09" w:rsidRDefault="00C7663A" w:rsidP="00790B09">
      <w:pPr>
        <w:pStyle w:val="ListParagraph"/>
        <w:numPr>
          <w:ilvl w:val="0"/>
          <w:numId w:val="6"/>
        </w:numPr>
        <w:spacing w:after="0" w:line="240" w:lineRule="auto"/>
        <w:rPr>
          <w:rFonts w:ascii="Times New Roman" w:hAnsi="Times New Roman" w:cs="Times New Roman"/>
          <w:sz w:val="24"/>
          <w:szCs w:val="24"/>
        </w:rPr>
      </w:pPr>
      <w:r w:rsidRPr="00790B09">
        <w:rPr>
          <w:rFonts w:ascii="Times New Roman" w:hAnsi="Times New Roman" w:cs="Times New Roman"/>
          <w:sz w:val="24"/>
          <w:szCs w:val="24"/>
        </w:rPr>
        <w:t>300- or 400-level 5-unit lecture course (meets 4-5 hours per week) with no TA</w:t>
      </w:r>
      <w:r w:rsidR="00EE5E0B" w:rsidRPr="00790B09">
        <w:rPr>
          <w:rFonts w:ascii="Times New Roman" w:hAnsi="Times New Roman" w:cs="Times New Roman"/>
          <w:sz w:val="24"/>
          <w:szCs w:val="24"/>
        </w:rPr>
        <w:t>.</w:t>
      </w:r>
      <w:r w:rsidR="00182514" w:rsidRPr="00790B09">
        <w:rPr>
          <w:rFonts w:ascii="Times New Roman" w:hAnsi="Times New Roman" w:cs="Times New Roman"/>
          <w:sz w:val="24"/>
          <w:szCs w:val="24"/>
        </w:rPr>
        <w:t xml:space="preserve"> With </w:t>
      </w:r>
      <w:r w:rsidR="00182514" w:rsidRPr="00790B09">
        <w:rPr>
          <w:rFonts w:ascii="Times New Roman" w:hAnsi="Times New Roman" w:cs="Times New Roman"/>
          <w:i/>
          <w:iCs/>
          <w:sz w:val="24"/>
          <w:szCs w:val="24"/>
        </w:rPr>
        <w:t>n</w:t>
      </w:r>
      <w:r w:rsidR="00182514" w:rsidRPr="00790B09">
        <w:rPr>
          <w:rFonts w:ascii="Times New Roman" w:hAnsi="Times New Roman" w:cs="Times New Roman"/>
          <w:sz w:val="24"/>
          <w:szCs w:val="24"/>
        </w:rPr>
        <w:t xml:space="preserve"> as the number of students in the course, we assign the credit for the course as follows:</w:t>
      </w:r>
    </w:p>
    <w:p w:rsidR="00C7663A" w:rsidRPr="00C7663A" w:rsidRDefault="00C7663A" w:rsidP="00C7663A">
      <w:pPr>
        <w:spacing w:after="0" w:line="240" w:lineRule="auto"/>
        <w:rPr>
          <w:rFonts w:ascii="Times New Roman" w:hAnsi="Times New Roman" w:cs="Times New Roman"/>
          <w:sz w:val="24"/>
          <w:szCs w:val="24"/>
        </w:rPr>
      </w:pPr>
    </w:p>
    <w:p w:rsidR="00EE5E0B" w:rsidRDefault="00EE5E0B" w:rsidP="00EE5E0B">
      <w:pPr>
        <w:spacing w:after="0" w:line="240" w:lineRule="auto"/>
        <w:rPr>
          <w:rFonts w:ascii="Times New Roman" w:hAnsi="Times New Roman" w:cs="Times New Roman"/>
          <w:sz w:val="24"/>
          <w:szCs w:val="24"/>
        </w:rPr>
      </w:pPr>
      <w:r w:rsidRPr="00C7663A">
        <w:rPr>
          <w:rFonts w:ascii="Times New Roman" w:hAnsi="Times New Roman" w:cs="Times New Roman"/>
          <w:sz w:val="24"/>
          <w:szCs w:val="24"/>
        </w:rPr>
        <w:lastRenderedPageBreak/>
        <w:t xml:space="preserve">for </w:t>
      </w:r>
      <w:r w:rsidRPr="00CC0235">
        <w:rPr>
          <w:rFonts w:ascii="Times New Roman" w:hAnsi="Times New Roman" w:cs="Times New Roman"/>
          <w:i/>
          <w:sz w:val="24"/>
          <w:szCs w:val="24"/>
        </w:rPr>
        <w:t>n</w:t>
      </w:r>
      <w:r>
        <w:rPr>
          <w:rFonts w:ascii="Times New Roman" w:hAnsi="Times New Roman" w:cs="Times New Roman"/>
          <w:sz w:val="24"/>
          <w:szCs w:val="24"/>
        </w:rPr>
        <w:t xml:space="preserve"> ≤ 11, C = 0.6,</w:t>
      </w:r>
    </w:p>
    <w:p w:rsidR="00EE5E0B" w:rsidRPr="00C7663A" w:rsidRDefault="00EE5E0B" w:rsidP="00EE5E0B">
      <w:pPr>
        <w:spacing w:after="0" w:line="240" w:lineRule="auto"/>
        <w:rPr>
          <w:rFonts w:ascii="Times New Roman" w:hAnsi="Times New Roman" w:cs="Times New Roman"/>
          <w:sz w:val="24"/>
          <w:szCs w:val="24"/>
        </w:rPr>
      </w:pPr>
      <w:r>
        <w:rPr>
          <w:rFonts w:ascii="Times New Roman" w:hAnsi="Times New Roman" w:cs="Times New Roman"/>
          <w:sz w:val="24"/>
          <w:szCs w:val="24"/>
        </w:rPr>
        <w:t>for 11 &lt;</w:t>
      </w:r>
      <w:r w:rsidRPr="00C7663A">
        <w:rPr>
          <w:rFonts w:ascii="Times New Roman" w:hAnsi="Times New Roman" w:cs="Times New Roman"/>
          <w:sz w:val="24"/>
          <w:szCs w:val="24"/>
        </w:rPr>
        <w:t xml:space="preserve"> </w:t>
      </w:r>
      <w:r w:rsidRPr="00CC0235">
        <w:rPr>
          <w:rFonts w:ascii="Times New Roman" w:hAnsi="Times New Roman" w:cs="Times New Roman"/>
          <w:i/>
          <w:sz w:val="24"/>
          <w:szCs w:val="24"/>
        </w:rPr>
        <w:t>n</w:t>
      </w:r>
      <w:r>
        <w:rPr>
          <w:rFonts w:ascii="Times New Roman" w:hAnsi="Times New Roman" w:cs="Times New Roman"/>
          <w:sz w:val="24"/>
          <w:szCs w:val="24"/>
        </w:rPr>
        <w:t xml:space="preserve"> &lt;</w:t>
      </w:r>
      <w:r w:rsidRPr="00C7663A">
        <w:rPr>
          <w:rFonts w:ascii="Times New Roman" w:hAnsi="Times New Roman" w:cs="Times New Roman"/>
          <w:sz w:val="24"/>
          <w:szCs w:val="24"/>
        </w:rPr>
        <w:t xml:space="preserve"> 5</w:t>
      </w:r>
      <w:r>
        <w:rPr>
          <w:rFonts w:ascii="Times New Roman" w:hAnsi="Times New Roman" w:cs="Times New Roman"/>
          <w:sz w:val="24"/>
          <w:szCs w:val="24"/>
        </w:rPr>
        <w:t>7</w:t>
      </w:r>
      <w:r w:rsidRPr="00C7663A">
        <w:rPr>
          <w:rFonts w:ascii="Times New Roman" w:hAnsi="Times New Roman" w:cs="Times New Roman"/>
          <w:sz w:val="24"/>
          <w:szCs w:val="24"/>
        </w:rPr>
        <w:t>, C = (10 + (1/6)</w:t>
      </w:r>
      <w:r w:rsidRPr="00CC0235">
        <w:rPr>
          <w:rFonts w:ascii="Times New Roman" w:hAnsi="Times New Roman" w:cs="Times New Roman"/>
          <w:i/>
          <w:sz w:val="24"/>
          <w:szCs w:val="24"/>
        </w:rPr>
        <w:t>n</w:t>
      </w:r>
      <w:r>
        <w:rPr>
          <w:rFonts w:ascii="Times New Roman" w:hAnsi="Times New Roman" w:cs="Times New Roman"/>
          <w:sz w:val="24"/>
          <w:szCs w:val="24"/>
        </w:rPr>
        <w:t>) / 15, and</w:t>
      </w:r>
    </w:p>
    <w:p w:rsidR="00EE5E0B" w:rsidRPr="00C7663A" w:rsidRDefault="00EE5E0B" w:rsidP="00EE5E0B">
      <w:pPr>
        <w:spacing w:after="0" w:line="240" w:lineRule="auto"/>
        <w:rPr>
          <w:rFonts w:ascii="Times New Roman" w:hAnsi="Times New Roman" w:cs="Times New Roman"/>
          <w:sz w:val="24"/>
          <w:szCs w:val="24"/>
        </w:rPr>
      </w:pPr>
      <w:r w:rsidRPr="00C7663A">
        <w:rPr>
          <w:rFonts w:ascii="Times New Roman" w:hAnsi="Times New Roman" w:cs="Times New Roman"/>
          <w:sz w:val="24"/>
          <w:szCs w:val="24"/>
        </w:rPr>
        <w:t xml:space="preserve">for </w:t>
      </w:r>
      <w:r w:rsidRPr="00CC0235">
        <w:rPr>
          <w:rFonts w:ascii="Times New Roman" w:hAnsi="Times New Roman" w:cs="Times New Roman"/>
          <w:i/>
          <w:sz w:val="24"/>
          <w:szCs w:val="24"/>
        </w:rPr>
        <w:t>n</w:t>
      </w:r>
      <w:r w:rsidRPr="00C7663A">
        <w:rPr>
          <w:rFonts w:ascii="Times New Roman" w:hAnsi="Times New Roman" w:cs="Times New Roman"/>
          <w:sz w:val="24"/>
          <w:szCs w:val="24"/>
        </w:rPr>
        <w:t xml:space="preserve"> </w:t>
      </w:r>
      <w:r>
        <w:rPr>
          <w:rFonts w:ascii="Times New Roman" w:hAnsi="Times New Roman" w:cs="Times New Roman"/>
          <w:sz w:val="24"/>
          <w:szCs w:val="24"/>
        </w:rPr>
        <w:t>≥</w:t>
      </w:r>
      <w:r w:rsidRPr="00C7663A">
        <w:rPr>
          <w:rFonts w:ascii="Times New Roman" w:hAnsi="Times New Roman" w:cs="Times New Roman"/>
          <w:sz w:val="24"/>
          <w:szCs w:val="24"/>
        </w:rPr>
        <w:t xml:space="preserve"> 57, C = 1.3,</w:t>
      </w:r>
    </w:p>
    <w:p w:rsidR="00C7663A" w:rsidRPr="00C7663A" w:rsidRDefault="00C7663A" w:rsidP="00C7663A">
      <w:pPr>
        <w:spacing w:after="0" w:line="240" w:lineRule="auto"/>
        <w:rPr>
          <w:rFonts w:ascii="Times New Roman" w:hAnsi="Times New Roman" w:cs="Times New Roman"/>
          <w:sz w:val="24"/>
          <w:szCs w:val="24"/>
        </w:rPr>
      </w:pPr>
    </w:p>
    <w:p w:rsidR="00A86515" w:rsidRPr="00A86515" w:rsidRDefault="00A86515" w:rsidP="00C7663A">
      <w:pPr>
        <w:spacing w:after="0" w:line="240" w:lineRule="auto"/>
        <w:rPr>
          <w:rFonts w:ascii="Times New Roman" w:hAnsi="Times New Roman" w:cs="Times New Roman"/>
          <w:i/>
          <w:sz w:val="24"/>
          <w:szCs w:val="24"/>
        </w:rPr>
      </w:pPr>
      <w:r w:rsidRPr="00A86515">
        <w:rPr>
          <w:rFonts w:ascii="Times New Roman" w:hAnsi="Times New Roman" w:cs="Times New Roman"/>
          <w:i/>
          <w:sz w:val="24"/>
          <w:szCs w:val="24"/>
        </w:rPr>
        <w:t>Rationale</w:t>
      </w:r>
    </w:p>
    <w:p w:rsidR="00C7663A" w:rsidRPr="00C7663A" w:rsidRDefault="00EE5E0B" w:rsidP="00A8651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credit is based on the faculty spending </w:t>
      </w:r>
      <w:r w:rsidR="00C7663A" w:rsidRPr="00C7663A">
        <w:rPr>
          <w:rFonts w:ascii="Times New Roman" w:hAnsi="Times New Roman" w:cs="Times New Roman"/>
          <w:sz w:val="24"/>
          <w:szCs w:val="24"/>
        </w:rPr>
        <w:t>15 hours per week for a 30-student class:</w:t>
      </w:r>
    </w:p>
    <w:p w:rsidR="00C7663A" w:rsidRPr="00C7663A" w:rsidRDefault="00C7663A" w:rsidP="00C7663A">
      <w:pPr>
        <w:spacing w:after="0" w:line="240" w:lineRule="auto"/>
        <w:rPr>
          <w:rFonts w:ascii="Times New Roman" w:hAnsi="Times New Roman" w:cs="Times New Roman"/>
          <w:sz w:val="24"/>
          <w:szCs w:val="24"/>
        </w:rPr>
      </w:pPr>
      <w:r w:rsidRPr="00C7663A">
        <w:rPr>
          <w:rFonts w:ascii="Times New Roman" w:hAnsi="Times New Roman" w:cs="Times New Roman"/>
          <w:sz w:val="24"/>
          <w:szCs w:val="24"/>
        </w:rPr>
        <w:t>5 hours per week in class,</w:t>
      </w:r>
    </w:p>
    <w:p w:rsidR="00C7663A" w:rsidRPr="00C7663A" w:rsidRDefault="00C7663A" w:rsidP="00C7663A">
      <w:pPr>
        <w:spacing w:after="0" w:line="240" w:lineRule="auto"/>
        <w:rPr>
          <w:rFonts w:ascii="Times New Roman" w:hAnsi="Times New Roman" w:cs="Times New Roman"/>
          <w:sz w:val="24"/>
          <w:szCs w:val="24"/>
        </w:rPr>
      </w:pPr>
      <w:r w:rsidRPr="00C7663A">
        <w:rPr>
          <w:rFonts w:ascii="Times New Roman" w:hAnsi="Times New Roman" w:cs="Times New Roman"/>
          <w:sz w:val="24"/>
          <w:szCs w:val="24"/>
        </w:rPr>
        <w:t>5 hours of grading and emailing students per week,</w:t>
      </w:r>
      <w:r w:rsidR="009C0399">
        <w:rPr>
          <w:rFonts w:ascii="Times New Roman" w:hAnsi="Times New Roman" w:cs="Times New Roman"/>
          <w:sz w:val="24"/>
          <w:szCs w:val="24"/>
        </w:rPr>
        <w:t xml:space="preserve"> and</w:t>
      </w:r>
    </w:p>
    <w:p w:rsidR="00C7663A" w:rsidRPr="00C7663A" w:rsidRDefault="00C7663A" w:rsidP="00C7663A">
      <w:pPr>
        <w:spacing w:after="0" w:line="240" w:lineRule="auto"/>
        <w:rPr>
          <w:rFonts w:ascii="Times New Roman" w:hAnsi="Times New Roman" w:cs="Times New Roman"/>
          <w:sz w:val="24"/>
          <w:szCs w:val="24"/>
        </w:rPr>
      </w:pPr>
      <w:r w:rsidRPr="00C7663A">
        <w:rPr>
          <w:rFonts w:ascii="Times New Roman" w:hAnsi="Times New Roman" w:cs="Times New Roman"/>
          <w:sz w:val="24"/>
          <w:szCs w:val="24"/>
        </w:rPr>
        <w:t>5 hours of prep and office hours per week</w:t>
      </w:r>
      <w:r w:rsidR="009C0399">
        <w:rPr>
          <w:rFonts w:ascii="Times New Roman" w:hAnsi="Times New Roman" w:cs="Times New Roman"/>
          <w:sz w:val="24"/>
          <w:szCs w:val="24"/>
        </w:rPr>
        <w:t>.</w:t>
      </w:r>
    </w:p>
    <w:p w:rsidR="00C7663A" w:rsidRPr="00C7663A" w:rsidRDefault="00C7663A" w:rsidP="00C7663A">
      <w:pPr>
        <w:spacing w:after="0" w:line="240" w:lineRule="auto"/>
        <w:rPr>
          <w:rFonts w:ascii="Times New Roman" w:hAnsi="Times New Roman" w:cs="Times New Roman"/>
          <w:sz w:val="24"/>
          <w:szCs w:val="24"/>
        </w:rPr>
      </w:pPr>
    </w:p>
    <w:p w:rsidR="00C7663A" w:rsidRPr="00C7663A" w:rsidRDefault="00C7663A" w:rsidP="00C12C5E">
      <w:pPr>
        <w:spacing w:after="0" w:line="240" w:lineRule="auto"/>
        <w:ind w:firstLine="720"/>
        <w:rPr>
          <w:rFonts w:ascii="Times New Roman" w:hAnsi="Times New Roman" w:cs="Times New Roman"/>
          <w:sz w:val="24"/>
          <w:szCs w:val="24"/>
        </w:rPr>
      </w:pPr>
      <w:r w:rsidRPr="00C7663A">
        <w:rPr>
          <w:rFonts w:ascii="Times New Roman" w:hAnsi="Times New Roman" w:cs="Times New Roman"/>
          <w:sz w:val="24"/>
          <w:szCs w:val="24"/>
        </w:rPr>
        <w:t>Since increase in class size only increases the time for</w:t>
      </w:r>
      <w:r w:rsidR="00CC0235">
        <w:rPr>
          <w:rFonts w:ascii="Times New Roman" w:hAnsi="Times New Roman" w:cs="Times New Roman"/>
          <w:sz w:val="24"/>
          <w:szCs w:val="24"/>
        </w:rPr>
        <w:t xml:space="preserve"> </w:t>
      </w:r>
      <w:r w:rsidRPr="00C7663A">
        <w:rPr>
          <w:rFonts w:ascii="Times New Roman" w:hAnsi="Times New Roman" w:cs="Times New Roman"/>
          <w:sz w:val="24"/>
          <w:szCs w:val="24"/>
        </w:rPr>
        <w:t>grading and emailing students, the total hours per week is</w:t>
      </w:r>
      <w:r w:rsidR="00CC0235">
        <w:rPr>
          <w:rFonts w:ascii="Times New Roman" w:hAnsi="Times New Roman" w:cs="Times New Roman"/>
          <w:sz w:val="24"/>
          <w:szCs w:val="24"/>
        </w:rPr>
        <w:t xml:space="preserve"> </w:t>
      </w:r>
      <w:r w:rsidRPr="00C7663A">
        <w:rPr>
          <w:rFonts w:ascii="Times New Roman" w:hAnsi="Times New Roman" w:cs="Times New Roman"/>
          <w:sz w:val="24"/>
          <w:szCs w:val="24"/>
        </w:rPr>
        <w:t>H = 10 hours per week + (1/6)</w:t>
      </w:r>
      <w:r w:rsidRPr="00CC0235">
        <w:rPr>
          <w:rFonts w:ascii="Times New Roman" w:hAnsi="Times New Roman" w:cs="Times New Roman"/>
          <w:i/>
          <w:sz w:val="24"/>
          <w:szCs w:val="24"/>
        </w:rPr>
        <w:t>n</w:t>
      </w:r>
      <w:r w:rsidRPr="00C7663A">
        <w:rPr>
          <w:rFonts w:ascii="Times New Roman" w:hAnsi="Times New Roman" w:cs="Times New Roman"/>
          <w:sz w:val="24"/>
          <w:szCs w:val="24"/>
        </w:rPr>
        <w:t xml:space="preserve">, where </w:t>
      </w:r>
      <w:r w:rsidRPr="00CC0235">
        <w:rPr>
          <w:rFonts w:ascii="Times New Roman" w:hAnsi="Times New Roman" w:cs="Times New Roman"/>
          <w:i/>
          <w:sz w:val="24"/>
          <w:szCs w:val="24"/>
        </w:rPr>
        <w:t>n</w:t>
      </w:r>
      <w:r w:rsidRPr="00C7663A">
        <w:rPr>
          <w:rFonts w:ascii="Times New Roman" w:hAnsi="Times New Roman" w:cs="Times New Roman"/>
          <w:sz w:val="24"/>
          <w:szCs w:val="24"/>
        </w:rPr>
        <w:t xml:space="preserve"> is the number of</w:t>
      </w:r>
      <w:r w:rsidR="00DF2A28">
        <w:rPr>
          <w:rFonts w:ascii="Times New Roman" w:hAnsi="Times New Roman" w:cs="Times New Roman"/>
          <w:sz w:val="24"/>
          <w:szCs w:val="24"/>
        </w:rPr>
        <w:t xml:space="preserve"> </w:t>
      </w:r>
      <w:r w:rsidRPr="00C7663A">
        <w:rPr>
          <w:rFonts w:ascii="Times New Roman" w:hAnsi="Times New Roman" w:cs="Times New Roman"/>
          <w:sz w:val="24"/>
          <w:szCs w:val="24"/>
        </w:rPr>
        <w:t>students. C = H/15 is the credit.</w:t>
      </w:r>
    </w:p>
    <w:p w:rsidR="00C7663A" w:rsidRPr="00C7663A" w:rsidRDefault="00C7663A" w:rsidP="00C12C5E">
      <w:pPr>
        <w:spacing w:after="0" w:line="240" w:lineRule="auto"/>
        <w:ind w:firstLine="720"/>
        <w:rPr>
          <w:rFonts w:ascii="Times New Roman" w:hAnsi="Times New Roman" w:cs="Times New Roman"/>
          <w:sz w:val="24"/>
          <w:szCs w:val="24"/>
        </w:rPr>
      </w:pPr>
      <w:r w:rsidRPr="00C7663A">
        <w:rPr>
          <w:rFonts w:ascii="Times New Roman" w:hAnsi="Times New Roman" w:cs="Times New Roman"/>
          <w:sz w:val="24"/>
          <w:szCs w:val="24"/>
        </w:rPr>
        <w:t xml:space="preserve">The rationale for the cutoffs </w:t>
      </w:r>
      <w:r w:rsidR="00EE5E0B">
        <w:rPr>
          <w:rFonts w:ascii="Times New Roman" w:hAnsi="Times New Roman" w:cs="Times New Roman"/>
          <w:sz w:val="24"/>
          <w:szCs w:val="24"/>
        </w:rPr>
        <w:t xml:space="preserve">(11 and 57) </w:t>
      </w:r>
      <w:r w:rsidRPr="00C7663A">
        <w:rPr>
          <w:rFonts w:ascii="Times New Roman" w:hAnsi="Times New Roman" w:cs="Times New Roman"/>
          <w:sz w:val="24"/>
          <w:szCs w:val="24"/>
        </w:rPr>
        <w:t>are as follows:</w:t>
      </w:r>
    </w:p>
    <w:p w:rsidR="00C7663A" w:rsidRPr="00C7663A" w:rsidRDefault="00C7663A" w:rsidP="00C7663A">
      <w:pPr>
        <w:spacing w:after="0" w:line="240" w:lineRule="auto"/>
        <w:rPr>
          <w:rFonts w:ascii="Times New Roman" w:hAnsi="Times New Roman" w:cs="Times New Roman"/>
          <w:sz w:val="24"/>
          <w:szCs w:val="24"/>
        </w:rPr>
      </w:pPr>
      <w:r w:rsidRPr="00C7663A">
        <w:rPr>
          <w:rFonts w:ascii="Times New Roman" w:hAnsi="Times New Roman" w:cs="Times New Roman"/>
          <w:sz w:val="24"/>
          <w:szCs w:val="24"/>
        </w:rPr>
        <w:t xml:space="preserve">1. </w:t>
      </w:r>
      <w:r w:rsidR="007A1412">
        <w:rPr>
          <w:rFonts w:ascii="Times New Roman" w:hAnsi="Times New Roman" w:cs="Times New Roman"/>
          <w:sz w:val="24"/>
          <w:szCs w:val="24"/>
        </w:rPr>
        <w:t>Any</w:t>
      </w:r>
      <w:r w:rsidR="0000695E">
        <w:rPr>
          <w:rFonts w:ascii="Times New Roman" w:hAnsi="Times New Roman" w:cs="Times New Roman"/>
          <w:sz w:val="24"/>
          <w:szCs w:val="24"/>
        </w:rPr>
        <w:t xml:space="preserve"> enrollment below a certain number still requires a certain amount of prep</w:t>
      </w:r>
      <w:r w:rsidR="00B0315A">
        <w:rPr>
          <w:rFonts w:ascii="Times New Roman" w:hAnsi="Times New Roman" w:cs="Times New Roman"/>
          <w:sz w:val="24"/>
          <w:szCs w:val="24"/>
        </w:rPr>
        <w:t>aration time</w:t>
      </w:r>
      <w:r w:rsidRPr="00C7663A">
        <w:rPr>
          <w:rFonts w:ascii="Times New Roman" w:hAnsi="Times New Roman" w:cs="Times New Roman"/>
          <w:sz w:val="24"/>
          <w:szCs w:val="24"/>
        </w:rPr>
        <w:t>.</w:t>
      </w:r>
      <w:r w:rsidR="0000695E">
        <w:rPr>
          <w:rFonts w:ascii="Times New Roman" w:hAnsi="Times New Roman" w:cs="Times New Roman"/>
          <w:sz w:val="24"/>
          <w:szCs w:val="24"/>
        </w:rPr>
        <w:t xml:space="preserve"> However, very small classes (e.g., 8 or fewer) should strongly discouraged or cancelled.</w:t>
      </w:r>
    </w:p>
    <w:p w:rsidR="00C7663A" w:rsidRPr="00C7663A" w:rsidRDefault="00C7663A" w:rsidP="00C7663A">
      <w:pPr>
        <w:spacing w:after="0" w:line="240" w:lineRule="auto"/>
        <w:rPr>
          <w:rFonts w:ascii="Times New Roman" w:hAnsi="Times New Roman" w:cs="Times New Roman"/>
          <w:sz w:val="24"/>
          <w:szCs w:val="24"/>
        </w:rPr>
      </w:pPr>
      <w:r w:rsidRPr="00C7663A">
        <w:rPr>
          <w:rFonts w:ascii="Times New Roman" w:hAnsi="Times New Roman" w:cs="Times New Roman"/>
          <w:sz w:val="24"/>
          <w:szCs w:val="24"/>
        </w:rPr>
        <w:t>2. We do not want to reward large classes</w:t>
      </w:r>
      <w:r w:rsidR="001353D2">
        <w:rPr>
          <w:rFonts w:ascii="Times New Roman" w:hAnsi="Times New Roman" w:cs="Times New Roman"/>
          <w:sz w:val="24"/>
          <w:szCs w:val="24"/>
        </w:rPr>
        <w:t>, despite their economic advantages,</w:t>
      </w:r>
      <w:r w:rsidRPr="00C7663A">
        <w:rPr>
          <w:rFonts w:ascii="Times New Roman" w:hAnsi="Times New Roman" w:cs="Times New Roman"/>
          <w:sz w:val="24"/>
          <w:szCs w:val="24"/>
        </w:rPr>
        <w:t xml:space="preserve"> because the quality</w:t>
      </w:r>
      <w:r w:rsidR="00CC0235">
        <w:rPr>
          <w:rFonts w:ascii="Times New Roman" w:hAnsi="Times New Roman" w:cs="Times New Roman"/>
          <w:sz w:val="24"/>
          <w:szCs w:val="24"/>
        </w:rPr>
        <w:t xml:space="preserve"> </w:t>
      </w:r>
      <w:r w:rsidRPr="00C7663A">
        <w:rPr>
          <w:rFonts w:ascii="Times New Roman" w:hAnsi="Times New Roman" w:cs="Times New Roman"/>
          <w:sz w:val="24"/>
          <w:szCs w:val="24"/>
        </w:rPr>
        <w:t>of instruction will tend to be poorer.</w:t>
      </w:r>
    </w:p>
    <w:p w:rsidR="00C7663A" w:rsidRDefault="00C7663A" w:rsidP="00C7663A">
      <w:pPr>
        <w:spacing w:after="0" w:line="240" w:lineRule="auto"/>
        <w:rPr>
          <w:rFonts w:ascii="Times New Roman" w:hAnsi="Times New Roman" w:cs="Times New Roman"/>
          <w:sz w:val="24"/>
          <w:szCs w:val="24"/>
        </w:rPr>
      </w:pPr>
    </w:p>
    <w:p w:rsidR="00A86515" w:rsidRPr="00A86515" w:rsidRDefault="00A86515" w:rsidP="00C7663A">
      <w:pPr>
        <w:spacing w:after="0" w:line="240" w:lineRule="auto"/>
        <w:rPr>
          <w:rFonts w:ascii="Times New Roman" w:hAnsi="Times New Roman" w:cs="Times New Roman"/>
          <w:i/>
          <w:sz w:val="24"/>
          <w:szCs w:val="24"/>
        </w:rPr>
      </w:pPr>
      <w:r>
        <w:rPr>
          <w:rFonts w:ascii="Times New Roman" w:hAnsi="Times New Roman" w:cs="Times New Roman"/>
          <w:i/>
          <w:sz w:val="24"/>
          <w:szCs w:val="24"/>
        </w:rPr>
        <w:t>Implementation</w:t>
      </w:r>
    </w:p>
    <w:p w:rsidR="00C7663A" w:rsidRDefault="00C90B00" w:rsidP="00C12C5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CC0235">
        <w:rPr>
          <w:rFonts w:ascii="Times New Roman" w:hAnsi="Times New Roman" w:cs="Times New Roman"/>
          <w:sz w:val="24"/>
          <w:szCs w:val="24"/>
        </w:rPr>
        <w:t xml:space="preserve">he </w:t>
      </w:r>
      <w:r w:rsidR="00C7663A" w:rsidRPr="00C7663A">
        <w:rPr>
          <w:rFonts w:ascii="Times New Roman" w:hAnsi="Times New Roman" w:cs="Times New Roman"/>
          <w:sz w:val="24"/>
          <w:szCs w:val="24"/>
        </w:rPr>
        <w:t xml:space="preserve">10th day </w:t>
      </w:r>
      <w:r w:rsidR="00CC0235">
        <w:rPr>
          <w:rFonts w:ascii="Times New Roman" w:hAnsi="Times New Roman" w:cs="Times New Roman"/>
          <w:sz w:val="24"/>
          <w:szCs w:val="24"/>
        </w:rPr>
        <w:t xml:space="preserve">enrollment </w:t>
      </w:r>
      <w:r>
        <w:rPr>
          <w:rFonts w:ascii="Times New Roman" w:hAnsi="Times New Roman" w:cs="Times New Roman"/>
          <w:sz w:val="24"/>
          <w:szCs w:val="24"/>
        </w:rPr>
        <w:t>will be used</w:t>
      </w:r>
      <w:r w:rsidR="00CC0235">
        <w:rPr>
          <w:rFonts w:ascii="Times New Roman" w:hAnsi="Times New Roman" w:cs="Times New Roman"/>
          <w:sz w:val="24"/>
          <w:szCs w:val="24"/>
        </w:rPr>
        <w:t xml:space="preserve"> to determine </w:t>
      </w:r>
      <w:r w:rsidR="00CC0235" w:rsidRPr="00CC0235">
        <w:rPr>
          <w:rFonts w:ascii="Times New Roman" w:hAnsi="Times New Roman" w:cs="Times New Roman"/>
          <w:i/>
          <w:iCs/>
          <w:sz w:val="24"/>
          <w:szCs w:val="24"/>
        </w:rPr>
        <w:t>n</w:t>
      </w:r>
      <w:r w:rsidR="00CC0235">
        <w:rPr>
          <w:rFonts w:ascii="Times New Roman" w:hAnsi="Times New Roman" w:cs="Times New Roman"/>
          <w:sz w:val="24"/>
          <w:szCs w:val="24"/>
        </w:rPr>
        <w:t>.</w:t>
      </w:r>
    </w:p>
    <w:p w:rsidR="00DB3567" w:rsidRPr="00C7663A" w:rsidRDefault="00DB3567" w:rsidP="00C12C5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Every tenure-track and tenured faculty member </w:t>
      </w:r>
      <w:r w:rsidR="009D4103">
        <w:rPr>
          <w:rFonts w:ascii="Times New Roman" w:hAnsi="Times New Roman" w:cs="Times New Roman"/>
          <w:sz w:val="24"/>
          <w:szCs w:val="24"/>
        </w:rPr>
        <w:t>shall</w:t>
      </w:r>
      <w:r>
        <w:rPr>
          <w:rFonts w:ascii="Times New Roman" w:hAnsi="Times New Roman" w:cs="Times New Roman"/>
          <w:sz w:val="24"/>
          <w:szCs w:val="24"/>
        </w:rPr>
        <w:t xml:space="preserve"> teach at least three basic (5-unit lecture) courses</w:t>
      </w:r>
      <w:r w:rsidR="00CB668A">
        <w:rPr>
          <w:rFonts w:ascii="Times New Roman" w:hAnsi="Times New Roman" w:cs="Times New Roman"/>
          <w:sz w:val="24"/>
          <w:szCs w:val="24"/>
        </w:rPr>
        <w:t xml:space="preserve"> </w:t>
      </w:r>
      <w:r>
        <w:rPr>
          <w:rFonts w:ascii="Times New Roman" w:hAnsi="Times New Roman" w:cs="Times New Roman"/>
          <w:sz w:val="24"/>
          <w:szCs w:val="24"/>
        </w:rPr>
        <w:t>per year</w:t>
      </w:r>
      <w:r w:rsidR="00CB668A">
        <w:rPr>
          <w:rFonts w:ascii="Times New Roman" w:hAnsi="Times New Roman" w:cs="Times New Roman"/>
          <w:sz w:val="24"/>
          <w:szCs w:val="24"/>
        </w:rPr>
        <w:t xml:space="preserve"> (i.e., </w:t>
      </w:r>
      <w:r w:rsidR="00350BE4">
        <w:rPr>
          <w:rFonts w:ascii="Times New Roman" w:hAnsi="Times New Roman" w:cs="Times New Roman"/>
          <w:sz w:val="24"/>
          <w:szCs w:val="24"/>
        </w:rPr>
        <w:t xml:space="preserve">the equivalent of </w:t>
      </w:r>
      <w:r w:rsidR="00CB668A">
        <w:rPr>
          <w:rFonts w:ascii="Times New Roman" w:hAnsi="Times New Roman" w:cs="Times New Roman"/>
          <w:sz w:val="24"/>
          <w:szCs w:val="24"/>
        </w:rPr>
        <w:t xml:space="preserve">15 </w:t>
      </w:r>
      <w:r w:rsidR="008A22C8">
        <w:rPr>
          <w:rFonts w:ascii="Times New Roman" w:hAnsi="Times New Roman" w:cs="Times New Roman"/>
          <w:sz w:val="24"/>
          <w:szCs w:val="24"/>
        </w:rPr>
        <w:t>units</w:t>
      </w:r>
      <w:r w:rsidR="00CB668A">
        <w:rPr>
          <w:rFonts w:ascii="Times New Roman" w:hAnsi="Times New Roman" w:cs="Times New Roman"/>
          <w:sz w:val="24"/>
          <w:szCs w:val="24"/>
        </w:rPr>
        <w:t xml:space="preserve"> of lecture courses per year)</w:t>
      </w:r>
      <w:r w:rsidR="00F337F3">
        <w:rPr>
          <w:rFonts w:ascii="Times New Roman" w:hAnsi="Times New Roman" w:cs="Times New Roman"/>
          <w:sz w:val="24"/>
          <w:szCs w:val="24"/>
        </w:rPr>
        <w:t>, with the possible exception of sabbatical years and years with a research quarter</w:t>
      </w:r>
      <w:r w:rsidR="00C92495">
        <w:rPr>
          <w:rFonts w:ascii="Times New Roman" w:hAnsi="Times New Roman" w:cs="Times New Roman"/>
          <w:sz w:val="24"/>
          <w:szCs w:val="24"/>
        </w:rPr>
        <w:t xml:space="preserve"> (for third-</w:t>
      </w:r>
      <w:r w:rsidR="00F337F3">
        <w:rPr>
          <w:rFonts w:ascii="Times New Roman" w:hAnsi="Times New Roman" w:cs="Times New Roman"/>
          <w:sz w:val="24"/>
          <w:szCs w:val="24"/>
        </w:rPr>
        <w:t xml:space="preserve">year </w:t>
      </w:r>
      <w:r w:rsidR="00A86515">
        <w:rPr>
          <w:rFonts w:ascii="Times New Roman" w:hAnsi="Times New Roman" w:cs="Times New Roman"/>
          <w:sz w:val="24"/>
          <w:szCs w:val="24"/>
        </w:rPr>
        <w:t xml:space="preserve">tenure-track </w:t>
      </w:r>
      <w:r w:rsidR="00F337F3">
        <w:rPr>
          <w:rFonts w:ascii="Times New Roman" w:hAnsi="Times New Roman" w:cs="Times New Roman"/>
          <w:sz w:val="24"/>
          <w:szCs w:val="24"/>
        </w:rPr>
        <w:t>faculty)</w:t>
      </w:r>
      <w:r>
        <w:rPr>
          <w:rFonts w:ascii="Times New Roman" w:hAnsi="Times New Roman" w:cs="Times New Roman"/>
          <w:sz w:val="24"/>
          <w:szCs w:val="24"/>
        </w:rPr>
        <w:t xml:space="preserve">. Full-time Lecturers </w:t>
      </w:r>
      <w:r w:rsidR="009D4103">
        <w:rPr>
          <w:rFonts w:ascii="Times New Roman" w:hAnsi="Times New Roman" w:cs="Times New Roman"/>
          <w:sz w:val="24"/>
          <w:szCs w:val="24"/>
        </w:rPr>
        <w:t>shall</w:t>
      </w:r>
      <w:r>
        <w:rPr>
          <w:rFonts w:ascii="Times New Roman" w:hAnsi="Times New Roman" w:cs="Times New Roman"/>
          <w:sz w:val="24"/>
          <w:szCs w:val="24"/>
        </w:rPr>
        <w:t xml:space="preserve"> teach at least four such courses per year</w:t>
      </w:r>
      <w:r w:rsidR="00327A15">
        <w:rPr>
          <w:rFonts w:ascii="Times New Roman" w:hAnsi="Times New Roman" w:cs="Times New Roman"/>
          <w:sz w:val="24"/>
          <w:szCs w:val="24"/>
        </w:rPr>
        <w:t xml:space="preserve"> (i.e., </w:t>
      </w:r>
      <w:r w:rsidR="00350BE4">
        <w:rPr>
          <w:rFonts w:ascii="Times New Roman" w:hAnsi="Times New Roman" w:cs="Times New Roman"/>
          <w:sz w:val="24"/>
          <w:szCs w:val="24"/>
        </w:rPr>
        <w:t xml:space="preserve">the equivalent </w:t>
      </w:r>
      <w:r w:rsidR="00327A15">
        <w:rPr>
          <w:rFonts w:ascii="Times New Roman" w:hAnsi="Times New Roman" w:cs="Times New Roman"/>
          <w:sz w:val="24"/>
          <w:szCs w:val="24"/>
        </w:rPr>
        <w:t>20 units</w:t>
      </w:r>
      <w:r w:rsidR="00751803">
        <w:rPr>
          <w:rFonts w:ascii="Times New Roman" w:hAnsi="Times New Roman" w:cs="Times New Roman"/>
          <w:sz w:val="24"/>
          <w:szCs w:val="24"/>
        </w:rPr>
        <w:t xml:space="preserve"> of lecture courses per year</w:t>
      </w:r>
      <w:r w:rsidR="00327A15">
        <w:rPr>
          <w:rFonts w:ascii="Times New Roman" w:hAnsi="Times New Roman" w:cs="Times New Roman"/>
          <w:sz w:val="24"/>
          <w:szCs w:val="24"/>
        </w:rPr>
        <w:t>)</w:t>
      </w:r>
      <w:r>
        <w:rPr>
          <w:rFonts w:ascii="Times New Roman" w:hAnsi="Times New Roman" w:cs="Times New Roman"/>
          <w:sz w:val="24"/>
          <w:szCs w:val="24"/>
        </w:rPr>
        <w:t>.</w:t>
      </w:r>
    </w:p>
    <w:p w:rsidR="00C7663A" w:rsidRPr="00C7663A" w:rsidRDefault="00C7663A" w:rsidP="00C7663A">
      <w:pPr>
        <w:spacing w:after="0" w:line="240" w:lineRule="auto"/>
        <w:rPr>
          <w:rFonts w:ascii="Times New Roman" w:hAnsi="Times New Roman" w:cs="Times New Roman"/>
          <w:sz w:val="24"/>
          <w:szCs w:val="24"/>
        </w:rPr>
      </w:pPr>
    </w:p>
    <w:p w:rsidR="00C7663A" w:rsidRPr="00E966F5" w:rsidRDefault="00790B09" w:rsidP="00790B0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L</w:t>
      </w:r>
      <w:r w:rsidR="00C7663A" w:rsidRPr="00E966F5">
        <w:rPr>
          <w:rFonts w:ascii="Times New Roman" w:hAnsi="Times New Roman" w:cs="Times New Roman"/>
          <w:sz w:val="24"/>
          <w:szCs w:val="24"/>
        </w:rPr>
        <w:t xml:space="preserve">ab-based courses (i.e., the course has </w:t>
      </w:r>
      <w:r>
        <w:rPr>
          <w:rFonts w:ascii="Times New Roman" w:hAnsi="Times New Roman" w:cs="Times New Roman"/>
          <w:sz w:val="24"/>
          <w:szCs w:val="24"/>
        </w:rPr>
        <w:t xml:space="preserve">a lecture and a </w:t>
      </w:r>
      <w:r w:rsidR="00C7663A" w:rsidRPr="00E966F5">
        <w:rPr>
          <w:rFonts w:ascii="Times New Roman" w:hAnsi="Times New Roman" w:cs="Times New Roman"/>
          <w:sz w:val="24"/>
          <w:szCs w:val="24"/>
        </w:rPr>
        <w:t xml:space="preserve">formal </w:t>
      </w:r>
      <w:r w:rsidR="001A2F4F">
        <w:rPr>
          <w:rFonts w:ascii="Times New Roman" w:hAnsi="Times New Roman" w:cs="Times New Roman"/>
          <w:sz w:val="24"/>
          <w:szCs w:val="24"/>
        </w:rPr>
        <w:t xml:space="preserve">scheduled lab </w:t>
      </w:r>
      <w:r w:rsidR="00C7663A" w:rsidRPr="00E966F5">
        <w:rPr>
          <w:rFonts w:ascii="Times New Roman" w:hAnsi="Times New Roman" w:cs="Times New Roman"/>
          <w:sz w:val="24"/>
          <w:szCs w:val="24"/>
        </w:rPr>
        <w:t>time</w:t>
      </w:r>
      <w:r w:rsidR="006B6EC4">
        <w:rPr>
          <w:rFonts w:ascii="Times New Roman" w:hAnsi="Times New Roman" w:cs="Times New Roman"/>
          <w:sz w:val="24"/>
          <w:szCs w:val="24"/>
        </w:rPr>
        <w:t>, such as TCSS 142 and 143</w:t>
      </w:r>
      <w:r w:rsidR="00C7663A" w:rsidRPr="00E966F5">
        <w:rPr>
          <w:rFonts w:ascii="Times New Roman" w:hAnsi="Times New Roman" w:cs="Times New Roman"/>
          <w:sz w:val="24"/>
          <w:szCs w:val="24"/>
        </w:rPr>
        <w:t>)</w:t>
      </w:r>
      <w:r>
        <w:rPr>
          <w:rFonts w:ascii="Times New Roman" w:hAnsi="Times New Roman" w:cs="Times New Roman"/>
          <w:sz w:val="24"/>
          <w:szCs w:val="24"/>
        </w:rPr>
        <w:t xml:space="preserve">. Earns the same credit as a lecture course with the same number of credits, plus </w:t>
      </w:r>
      <w:r w:rsidR="00297FEA">
        <w:rPr>
          <w:rFonts w:ascii="Times New Roman" w:hAnsi="Times New Roman" w:cs="Times New Roman"/>
          <w:sz w:val="24"/>
          <w:szCs w:val="24"/>
        </w:rPr>
        <w:t>0.1</w:t>
      </w:r>
      <w:r>
        <w:rPr>
          <w:rFonts w:ascii="Times New Roman" w:hAnsi="Times New Roman" w:cs="Times New Roman"/>
          <w:sz w:val="24"/>
          <w:szCs w:val="24"/>
        </w:rPr>
        <w:t xml:space="preserve">. </w:t>
      </w:r>
      <w:r>
        <w:rPr>
          <w:rFonts w:ascii="Times New Roman" w:hAnsi="Times New Roman" w:cs="Times New Roman"/>
          <w:i/>
          <w:sz w:val="24"/>
          <w:szCs w:val="24"/>
        </w:rPr>
        <w:t>Rationale:</w:t>
      </w:r>
      <w:r>
        <w:rPr>
          <w:rFonts w:ascii="Times New Roman" w:hAnsi="Times New Roman" w:cs="Times New Roman"/>
          <w:sz w:val="24"/>
          <w:szCs w:val="24"/>
        </w:rPr>
        <w:t xml:space="preserve"> Lab courses require </w:t>
      </w:r>
      <w:r w:rsidR="00522D1F">
        <w:rPr>
          <w:rFonts w:ascii="Times New Roman" w:hAnsi="Times New Roman" w:cs="Times New Roman"/>
          <w:sz w:val="24"/>
          <w:szCs w:val="24"/>
        </w:rPr>
        <w:t>2</w:t>
      </w:r>
      <w:r>
        <w:rPr>
          <w:rFonts w:ascii="Times New Roman" w:hAnsi="Times New Roman" w:cs="Times New Roman"/>
          <w:sz w:val="24"/>
          <w:szCs w:val="24"/>
        </w:rPr>
        <w:t xml:space="preserve"> to 3 more hours of faculty time in the lab than a corresponding lecture course.</w:t>
      </w:r>
    </w:p>
    <w:p w:rsidR="00C7663A" w:rsidRPr="00944ECD" w:rsidRDefault="00790B09" w:rsidP="00790B0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C7663A" w:rsidRPr="00E966F5">
        <w:rPr>
          <w:rFonts w:ascii="Times New Roman" w:hAnsi="Times New Roman" w:cs="Times New Roman"/>
          <w:sz w:val="24"/>
          <w:szCs w:val="24"/>
        </w:rPr>
        <w:t xml:space="preserve">reshman and sophomore-level </w:t>
      </w:r>
      <w:r w:rsidR="004B1D41">
        <w:rPr>
          <w:rFonts w:ascii="Times New Roman" w:hAnsi="Times New Roman" w:cs="Times New Roman"/>
          <w:sz w:val="24"/>
          <w:szCs w:val="24"/>
        </w:rPr>
        <w:t xml:space="preserve">(100- and 200-level) </w:t>
      </w:r>
      <w:r>
        <w:rPr>
          <w:rFonts w:ascii="Times New Roman" w:hAnsi="Times New Roman" w:cs="Times New Roman"/>
          <w:sz w:val="24"/>
          <w:szCs w:val="24"/>
        </w:rPr>
        <w:t xml:space="preserve">lecture </w:t>
      </w:r>
      <w:r w:rsidR="00C7663A" w:rsidRPr="00E966F5">
        <w:rPr>
          <w:rFonts w:ascii="Times New Roman" w:hAnsi="Times New Roman" w:cs="Times New Roman"/>
          <w:sz w:val="24"/>
          <w:szCs w:val="24"/>
        </w:rPr>
        <w:t>courses</w:t>
      </w:r>
      <w:r w:rsidR="0091357B">
        <w:rPr>
          <w:rFonts w:ascii="Times New Roman" w:hAnsi="Times New Roman" w:cs="Times New Roman"/>
          <w:sz w:val="24"/>
          <w:szCs w:val="24"/>
        </w:rPr>
        <w:t>, but not TCSS 142 and 143</w:t>
      </w:r>
      <w:r>
        <w:rPr>
          <w:rFonts w:ascii="Times New Roman" w:hAnsi="Times New Roman" w:cs="Times New Roman"/>
          <w:sz w:val="24"/>
          <w:szCs w:val="24"/>
        </w:rPr>
        <w:t>.</w:t>
      </w:r>
      <w:r w:rsidRPr="00790B09">
        <w:rPr>
          <w:rFonts w:ascii="Times New Roman" w:hAnsi="Times New Roman" w:cs="Times New Roman"/>
          <w:sz w:val="24"/>
          <w:szCs w:val="24"/>
        </w:rPr>
        <w:t xml:space="preserve"> </w:t>
      </w:r>
      <w:r>
        <w:rPr>
          <w:rFonts w:ascii="Times New Roman" w:hAnsi="Times New Roman" w:cs="Times New Roman"/>
          <w:sz w:val="24"/>
          <w:szCs w:val="24"/>
        </w:rPr>
        <w:t>Earns the same credit as a lecture course with the same number of credits, plus 10%.</w:t>
      </w:r>
      <w:r w:rsidRPr="00790B09">
        <w:rPr>
          <w:rFonts w:ascii="Times New Roman" w:hAnsi="Times New Roman" w:cs="Times New Roman"/>
          <w:i/>
          <w:sz w:val="24"/>
          <w:szCs w:val="24"/>
        </w:rPr>
        <w:t xml:space="preserve"> </w:t>
      </w:r>
      <w:r>
        <w:rPr>
          <w:rFonts w:ascii="Times New Roman" w:hAnsi="Times New Roman" w:cs="Times New Roman"/>
          <w:i/>
          <w:sz w:val="24"/>
          <w:szCs w:val="24"/>
        </w:rPr>
        <w:t>Rationale:</w:t>
      </w:r>
      <w:r>
        <w:rPr>
          <w:rFonts w:ascii="Times New Roman" w:hAnsi="Times New Roman" w:cs="Times New Roman"/>
          <w:sz w:val="24"/>
          <w:szCs w:val="24"/>
        </w:rPr>
        <w:t xml:space="preserve"> Freshman and sophomore courses require more attention to pedagogy and require a bit more faculty time in</w:t>
      </w:r>
      <w:r w:rsidR="00645CB6">
        <w:rPr>
          <w:rFonts w:ascii="Times New Roman" w:hAnsi="Times New Roman" w:cs="Times New Roman"/>
          <w:sz w:val="24"/>
          <w:szCs w:val="24"/>
        </w:rPr>
        <w:t xml:space="preserve"> </w:t>
      </w:r>
      <w:r w:rsidR="00DD16A7">
        <w:rPr>
          <w:rFonts w:ascii="Times New Roman" w:hAnsi="Times New Roman" w:cs="Times New Roman"/>
          <w:sz w:val="24"/>
          <w:szCs w:val="24"/>
        </w:rPr>
        <w:t>responding</w:t>
      </w:r>
      <w:r w:rsidR="00645CB6">
        <w:rPr>
          <w:rFonts w:ascii="Times New Roman" w:hAnsi="Times New Roman" w:cs="Times New Roman"/>
          <w:sz w:val="24"/>
          <w:szCs w:val="24"/>
        </w:rPr>
        <w:t xml:space="preserve"> to students than an upper division </w:t>
      </w:r>
      <w:r>
        <w:rPr>
          <w:rFonts w:ascii="Times New Roman" w:hAnsi="Times New Roman" w:cs="Times New Roman"/>
          <w:sz w:val="24"/>
          <w:szCs w:val="24"/>
        </w:rPr>
        <w:t>course.</w:t>
      </w:r>
    </w:p>
    <w:p w:rsidR="00C7663A" w:rsidRDefault="00645CB6" w:rsidP="00790B0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C7663A" w:rsidRPr="00E966F5">
        <w:rPr>
          <w:rFonts w:ascii="Times New Roman" w:hAnsi="Times New Roman" w:cs="Times New Roman"/>
          <w:sz w:val="24"/>
          <w:szCs w:val="24"/>
        </w:rPr>
        <w:t xml:space="preserve">riting-intensive </w:t>
      </w:r>
      <w:r w:rsidR="004B1D41">
        <w:rPr>
          <w:rFonts w:ascii="Times New Roman" w:hAnsi="Times New Roman" w:cs="Times New Roman"/>
          <w:sz w:val="24"/>
          <w:szCs w:val="24"/>
        </w:rPr>
        <w:t xml:space="preserve">(designated W) </w:t>
      </w:r>
      <w:r>
        <w:rPr>
          <w:rFonts w:ascii="Times New Roman" w:hAnsi="Times New Roman" w:cs="Times New Roman"/>
          <w:sz w:val="24"/>
          <w:szCs w:val="24"/>
        </w:rPr>
        <w:t>courses</w:t>
      </w:r>
      <w:r w:rsidR="000302DC">
        <w:rPr>
          <w:rFonts w:ascii="Times New Roman" w:hAnsi="Times New Roman" w:cs="Times New Roman"/>
          <w:sz w:val="24"/>
          <w:szCs w:val="24"/>
        </w:rPr>
        <w:t xml:space="preserve"> (e.g., TCSS 325)</w:t>
      </w:r>
      <w:r>
        <w:rPr>
          <w:rFonts w:ascii="Times New Roman" w:hAnsi="Times New Roman" w:cs="Times New Roman"/>
          <w:sz w:val="24"/>
          <w:szCs w:val="24"/>
        </w:rPr>
        <w:t>. Earns the same credit as a lecture course with the same number of credits, plus 10%.</w:t>
      </w:r>
      <w:r w:rsidRPr="00790B09">
        <w:rPr>
          <w:rFonts w:ascii="Times New Roman" w:hAnsi="Times New Roman" w:cs="Times New Roman"/>
          <w:i/>
          <w:sz w:val="24"/>
          <w:szCs w:val="24"/>
        </w:rPr>
        <w:t xml:space="preserve"> </w:t>
      </w:r>
      <w:r>
        <w:rPr>
          <w:rFonts w:ascii="Times New Roman" w:hAnsi="Times New Roman" w:cs="Times New Roman"/>
          <w:i/>
          <w:sz w:val="24"/>
          <w:szCs w:val="24"/>
        </w:rPr>
        <w:t>Rationale:</w:t>
      </w:r>
      <w:r>
        <w:rPr>
          <w:rFonts w:ascii="Times New Roman" w:hAnsi="Times New Roman" w:cs="Times New Roman"/>
          <w:sz w:val="24"/>
          <w:szCs w:val="24"/>
        </w:rPr>
        <w:t xml:space="preserve"> The 10% adjustment is </w:t>
      </w:r>
      <w:r w:rsidR="00D82784">
        <w:rPr>
          <w:rFonts w:ascii="Times New Roman" w:hAnsi="Times New Roman" w:cs="Times New Roman"/>
          <w:sz w:val="24"/>
          <w:szCs w:val="24"/>
        </w:rPr>
        <w:t>based on the 22-student cap that I</w:t>
      </w:r>
      <w:r>
        <w:rPr>
          <w:rFonts w:ascii="Times New Roman" w:hAnsi="Times New Roman" w:cs="Times New Roman"/>
          <w:sz w:val="24"/>
          <w:szCs w:val="24"/>
        </w:rPr>
        <w:t>AS uses for composition courses.</w:t>
      </w:r>
      <w:r w:rsidR="00E41575">
        <w:rPr>
          <w:rFonts w:ascii="Times New Roman" w:hAnsi="Times New Roman" w:cs="Times New Roman"/>
          <w:sz w:val="24"/>
          <w:szCs w:val="24"/>
        </w:rPr>
        <w:t xml:space="preserve"> Note that a 22-student writing</w:t>
      </w:r>
      <w:r w:rsidR="00DD4902">
        <w:rPr>
          <w:rFonts w:ascii="Times New Roman" w:hAnsi="Times New Roman" w:cs="Times New Roman"/>
          <w:sz w:val="24"/>
          <w:szCs w:val="24"/>
        </w:rPr>
        <w:t>-intensive</w:t>
      </w:r>
      <w:r w:rsidR="00E41575">
        <w:rPr>
          <w:rFonts w:ascii="Times New Roman" w:hAnsi="Times New Roman" w:cs="Times New Roman"/>
          <w:sz w:val="24"/>
          <w:szCs w:val="24"/>
        </w:rPr>
        <w:t xml:space="preserve"> course earn</w:t>
      </w:r>
      <w:r w:rsidR="00DD4902">
        <w:rPr>
          <w:rFonts w:ascii="Times New Roman" w:hAnsi="Times New Roman" w:cs="Times New Roman"/>
          <w:sz w:val="24"/>
          <w:szCs w:val="24"/>
        </w:rPr>
        <w:t>s</w:t>
      </w:r>
      <w:r w:rsidR="00E41575">
        <w:rPr>
          <w:rFonts w:ascii="Times New Roman" w:hAnsi="Times New Roman" w:cs="Times New Roman"/>
          <w:sz w:val="24"/>
          <w:szCs w:val="24"/>
        </w:rPr>
        <w:t xml:space="preserve"> </w:t>
      </w:r>
      <w:r w:rsidR="00104743">
        <w:rPr>
          <w:rFonts w:ascii="Times New Roman" w:hAnsi="Times New Roman" w:cs="Times New Roman"/>
          <w:sz w:val="24"/>
          <w:szCs w:val="24"/>
        </w:rPr>
        <w:t xml:space="preserve">nearly </w:t>
      </w:r>
      <w:r w:rsidR="00E41575">
        <w:rPr>
          <w:rFonts w:ascii="Times New Roman" w:hAnsi="Times New Roman" w:cs="Times New Roman"/>
          <w:sz w:val="24"/>
          <w:szCs w:val="24"/>
        </w:rPr>
        <w:t>the same credit (</w:t>
      </w:r>
      <w:r w:rsidR="00DD4902">
        <w:rPr>
          <w:rFonts w:ascii="Times New Roman" w:hAnsi="Times New Roman" w:cs="Times New Roman"/>
          <w:sz w:val="24"/>
          <w:szCs w:val="24"/>
        </w:rPr>
        <w:t>1</w:t>
      </w:r>
      <w:r w:rsidR="00E41575">
        <w:rPr>
          <w:rFonts w:ascii="Times New Roman" w:hAnsi="Times New Roman" w:cs="Times New Roman"/>
          <w:sz w:val="24"/>
          <w:szCs w:val="24"/>
        </w:rPr>
        <w:t>.00</w:t>
      </w:r>
      <w:r w:rsidR="00DD4902">
        <w:rPr>
          <w:rFonts w:ascii="Times New Roman" w:hAnsi="Times New Roman" w:cs="Times New Roman"/>
          <w:sz w:val="24"/>
          <w:szCs w:val="24"/>
        </w:rPr>
        <w:t>2</w:t>
      </w:r>
      <w:r w:rsidR="00E41575">
        <w:rPr>
          <w:rFonts w:ascii="Times New Roman" w:hAnsi="Times New Roman" w:cs="Times New Roman"/>
          <w:sz w:val="24"/>
          <w:szCs w:val="24"/>
        </w:rPr>
        <w:t>) as a 30-student upper division lecture course</w:t>
      </w:r>
      <w:r w:rsidR="00104743">
        <w:rPr>
          <w:rFonts w:ascii="Times New Roman" w:hAnsi="Times New Roman" w:cs="Times New Roman"/>
          <w:sz w:val="24"/>
          <w:szCs w:val="24"/>
        </w:rPr>
        <w:t xml:space="preserve"> (</w:t>
      </w:r>
      <w:r w:rsidR="00DD4902">
        <w:rPr>
          <w:rFonts w:ascii="Times New Roman" w:hAnsi="Times New Roman" w:cs="Times New Roman"/>
          <w:sz w:val="24"/>
          <w:szCs w:val="24"/>
        </w:rPr>
        <w:t>1</w:t>
      </w:r>
      <w:r w:rsidR="00104743">
        <w:rPr>
          <w:rFonts w:ascii="Times New Roman" w:hAnsi="Times New Roman" w:cs="Times New Roman"/>
          <w:sz w:val="24"/>
          <w:szCs w:val="24"/>
        </w:rPr>
        <w:t>.0)</w:t>
      </w:r>
      <w:r w:rsidR="00E41575">
        <w:rPr>
          <w:rFonts w:ascii="Times New Roman" w:hAnsi="Times New Roman" w:cs="Times New Roman"/>
          <w:sz w:val="24"/>
          <w:szCs w:val="24"/>
        </w:rPr>
        <w:t>.</w:t>
      </w:r>
    </w:p>
    <w:p w:rsidR="00E00305" w:rsidRDefault="00E00305" w:rsidP="00790B0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Seminar courses (e.g., TCES 101, TCSS 598). Earns the same credit as a lecture course with the same number of credits.</w:t>
      </w:r>
      <w:r w:rsidR="00893D82">
        <w:rPr>
          <w:rFonts w:ascii="Times New Roman" w:hAnsi="Times New Roman" w:cs="Times New Roman"/>
          <w:sz w:val="24"/>
          <w:szCs w:val="24"/>
        </w:rPr>
        <w:t xml:space="preserve"> </w:t>
      </w:r>
      <w:r w:rsidR="00893D82">
        <w:rPr>
          <w:rFonts w:ascii="Times New Roman" w:hAnsi="Times New Roman" w:cs="Times New Roman"/>
          <w:i/>
          <w:sz w:val="24"/>
          <w:szCs w:val="24"/>
        </w:rPr>
        <w:t>Rationale:</w:t>
      </w:r>
      <w:r w:rsidR="00893D82">
        <w:rPr>
          <w:rFonts w:ascii="Times New Roman" w:hAnsi="Times New Roman" w:cs="Times New Roman"/>
          <w:sz w:val="24"/>
          <w:szCs w:val="24"/>
        </w:rPr>
        <w:t xml:space="preserve"> The number of faculty hours spent is approximately equal to that of a </w:t>
      </w:r>
      <w:r w:rsidR="00547387">
        <w:rPr>
          <w:rFonts w:ascii="Times New Roman" w:hAnsi="Times New Roman" w:cs="Times New Roman"/>
          <w:sz w:val="24"/>
          <w:szCs w:val="24"/>
        </w:rPr>
        <w:t xml:space="preserve">equal-credit </w:t>
      </w:r>
      <w:r w:rsidR="00893D82">
        <w:rPr>
          <w:rFonts w:ascii="Times New Roman" w:hAnsi="Times New Roman" w:cs="Times New Roman"/>
          <w:sz w:val="24"/>
          <w:szCs w:val="24"/>
        </w:rPr>
        <w:t>lecture course.</w:t>
      </w:r>
    </w:p>
    <w:p w:rsidR="00D14652" w:rsidRPr="00E966F5" w:rsidRDefault="00D14652" w:rsidP="00790B0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Graduate </w:t>
      </w:r>
      <w:r w:rsidR="00A721F4">
        <w:rPr>
          <w:rFonts w:ascii="Times New Roman" w:hAnsi="Times New Roman" w:cs="Times New Roman"/>
          <w:sz w:val="24"/>
          <w:szCs w:val="24"/>
        </w:rPr>
        <w:t xml:space="preserve">lecture </w:t>
      </w:r>
      <w:r>
        <w:rPr>
          <w:rFonts w:ascii="Times New Roman" w:hAnsi="Times New Roman" w:cs="Times New Roman"/>
          <w:sz w:val="24"/>
          <w:szCs w:val="24"/>
        </w:rPr>
        <w:t xml:space="preserve">courses (500-level). Earns the same credit as a lecture course with the same number of credits, plus 20%. </w:t>
      </w:r>
      <w:r>
        <w:rPr>
          <w:rFonts w:ascii="Times New Roman" w:hAnsi="Times New Roman" w:cs="Times New Roman"/>
          <w:i/>
          <w:sz w:val="24"/>
          <w:szCs w:val="24"/>
        </w:rPr>
        <w:t>Rationale:</w:t>
      </w:r>
      <w:r>
        <w:rPr>
          <w:rFonts w:ascii="Times New Roman" w:hAnsi="Times New Roman" w:cs="Times New Roman"/>
          <w:sz w:val="24"/>
          <w:szCs w:val="24"/>
        </w:rPr>
        <w:t xml:space="preserve"> The 20% is based on two facts: teaching graduate </w:t>
      </w:r>
      <w:r>
        <w:rPr>
          <w:rFonts w:ascii="Times New Roman" w:hAnsi="Times New Roman" w:cs="Times New Roman"/>
          <w:sz w:val="24"/>
          <w:szCs w:val="24"/>
        </w:rPr>
        <w:lastRenderedPageBreak/>
        <w:t>courses tends to require keeping up with developments in the discipline, and the tuition for graduate students is higher than that for undergraduates.</w:t>
      </w:r>
    </w:p>
    <w:p w:rsidR="00C7663A" w:rsidRPr="00E966F5" w:rsidRDefault="00DD4902" w:rsidP="00790B0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course that has </w:t>
      </w:r>
      <w:r w:rsidR="00C7663A" w:rsidRPr="00E966F5">
        <w:rPr>
          <w:rFonts w:ascii="Times New Roman" w:hAnsi="Times New Roman" w:cs="Times New Roman"/>
          <w:sz w:val="24"/>
          <w:szCs w:val="24"/>
        </w:rPr>
        <w:t xml:space="preserve">TA </w:t>
      </w:r>
      <w:r w:rsidR="00B83734">
        <w:rPr>
          <w:rFonts w:ascii="Times New Roman" w:hAnsi="Times New Roman" w:cs="Times New Roman"/>
          <w:sz w:val="24"/>
          <w:szCs w:val="24"/>
        </w:rPr>
        <w:t>support</w:t>
      </w:r>
      <w:r>
        <w:rPr>
          <w:rFonts w:ascii="Times New Roman" w:hAnsi="Times New Roman" w:cs="Times New Roman"/>
          <w:sz w:val="24"/>
          <w:szCs w:val="24"/>
        </w:rPr>
        <w:t xml:space="preserve">. Deduct 0.2 from the credit. </w:t>
      </w:r>
      <w:r>
        <w:rPr>
          <w:rFonts w:ascii="Times New Roman" w:hAnsi="Times New Roman" w:cs="Times New Roman"/>
          <w:i/>
          <w:sz w:val="24"/>
          <w:szCs w:val="24"/>
        </w:rPr>
        <w:t>Rationale:</w:t>
      </w:r>
      <w:r>
        <w:rPr>
          <w:rFonts w:ascii="Times New Roman" w:hAnsi="Times New Roman" w:cs="Times New Roman"/>
          <w:sz w:val="24"/>
          <w:szCs w:val="24"/>
        </w:rPr>
        <w:t xml:space="preserve"> Having a </w:t>
      </w:r>
      <w:r w:rsidR="00D53969">
        <w:rPr>
          <w:rFonts w:ascii="Times New Roman" w:hAnsi="Times New Roman" w:cs="Times New Roman"/>
          <w:sz w:val="24"/>
          <w:szCs w:val="24"/>
        </w:rPr>
        <w:t xml:space="preserve">TA </w:t>
      </w:r>
      <w:r w:rsidR="0016113A">
        <w:rPr>
          <w:rFonts w:ascii="Times New Roman" w:hAnsi="Times New Roman" w:cs="Times New Roman"/>
          <w:sz w:val="24"/>
          <w:szCs w:val="24"/>
        </w:rPr>
        <w:t xml:space="preserve">saves </w:t>
      </w:r>
      <w:r>
        <w:rPr>
          <w:rFonts w:ascii="Times New Roman" w:hAnsi="Times New Roman" w:cs="Times New Roman"/>
          <w:sz w:val="24"/>
          <w:szCs w:val="24"/>
        </w:rPr>
        <w:t xml:space="preserve">the faculty in charge of the course </w:t>
      </w:r>
      <w:r w:rsidR="0016113A">
        <w:rPr>
          <w:rFonts w:ascii="Times New Roman" w:hAnsi="Times New Roman" w:cs="Times New Roman"/>
          <w:sz w:val="24"/>
          <w:szCs w:val="24"/>
        </w:rPr>
        <w:t>nearly all of the grading time</w:t>
      </w:r>
      <w:r w:rsidR="00C02BC6">
        <w:rPr>
          <w:rFonts w:ascii="Times New Roman" w:hAnsi="Times New Roman" w:cs="Times New Roman"/>
          <w:sz w:val="24"/>
          <w:szCs w:val="24"/>
        </w:rPr>
        <w:t>. Note that a 45-student lecture course with a TA earns nearly the same credit (0.967) as a 30-student upper division lecture course (1.0).</w:t>
      </w:r>
    </w:p>
    <w:p w:rsidR="00C7663A" w:rsidRPr="00E966F5" w:rsidRDefault="00004EE9" w:rsidP="00790B0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Txxx 390 </w:t>
      </w:r>
      <w:r w:rsidR="00C7663A" w:rsidRPr="00E966F5">
        <w:rPr>
          <w:rFonts w:ascii="Times New Roman" w:hAnsi="Times New Roman" w:cs="Times New Roman"/>
          <w:sz w:val="24"/>
          <w:szCs w:val="24"/>
        </w:rPr>
        <w:t>workshops</w:t>
      </w:r>
      <w:r w:rsidR="0069351A" w:rsidRPr="00E966F5">
        <w:rPr>
          <w:rFonts w:ascii="Times New Roman" w:hAnsi="Times New Roman" w:cs="Times New Roman"/>
          <w:sz w:val="24"/>
          <w:szCs w:val="24"/>
        </w:rPr>
        <w:t xml:space="preserve">: </w:t>
      </w:r>
      <w:r w:rsidR="00185134" w:rsidRPr="00E966F5">
        <w:rPr>
          <w:rFonts w:ascii="Times New Roman" w:hAnsi="Times New Roman" w:cs="Times New Roman"/>
          <w:sz w:val="24"/>
          <w:szCs w:val="24"/>
        </w:rPr>
        <w:t xml:space="preserve">In general, managing </w:t>
      </w:r>
      <w:r w:rsidR="00185134" w:rsidRPr="00E966F5">
        <w:rPr>
          <w:rFonts w:ascii="Times New Roman" w:hAnsi="Times New Roman" w:cs="Times New Roman"/>
          <w:i/>
          <w:iCs/>
          <w:sz w:val="24"/>
          <w:szCs w:val="24"/>
        </w:rPr>
        <w:t>m</w:t>
      </w:r>
      <w:r w:rsidR="00185134" w:rsidRPr="00E966F5">
        <w:rPr>
          <w:rFonts w:ascii="Times New Roman" w:hAnsi="Times New Roman" w:cs="Times New Roman"/>
          <w:sz w:val="24"/>
          <w:szCs w:val="24"/>
        </w:rPr>
        <w:t xml:space="preserve"> workshops</w:t>
      </w:r>
      <w:r w:rsidR="000610D2">
        <w:rPr>
          <w:rFonts w:ascii="Times New Roman" w:hAnsi="Times New Roman" w:cs="Times New Roman"/>
          <w:sz w:val="24"/>
          <w:szCs w:val="24"/>
        </w:rPr>
        <w:t xml:space="preserve"> with facilitators</w:t>
      </w:r>
      <w:r w:rsidR="001641A1">
        <w:rPr>
          <w:rFonts w:ascii="Times New Roman" w:hAnsi="Times New Roman" w:cs="Times New Roman"/>
          <w:sz w:val="24"/>
          <w:szCs w:val="24"/>
        </w:rPr>
        <w:t xml:space="preserve"> in a quarter</w:t>
      </w:r>
      <w:r w:rsidR="00E966F5">
        <w:rPr>
          <w:rFonts w:ascii="Times New Roman" w:hAnsi="Times New Roman" w:cs="Times New Roman"/>
          <w:sz w:val="24"/>
          <w:szCs w:val="24"/>
        </w:rPr>
        <w:t>, regardless of program,</w:t>
      </w:r>
      <w:r w:rsidR="00185134" w:rsidRPr="00E966F5">
        <w:rPr>
          <w:rFonts w:ascii="Times New Roman" w:hAnsi="Times New Roman" w:cs="Times New Roman"/>
          <w:sz w:val="24"/>
          <w:szCs w:val="24"/>
        </w:rPr>
        <w:t xml:space="preserve"> earns </w:t>
      </w:r>
      <w:r w:rsidR="00185134" w:rsidRPr="00E966F5">
        <w:rPr>
          <w:rFonts w:ascii="Times New Roman" w:hAnsi="Times New Roman" w:cs="Times New Roman"/>
          <w:i/>
          <w:iCs/>
          <w:sz w:val="24"/>
          <w:szCs w:val="24"/>
        </w:rPr>
        <w:t>m</w:t>
      </w:r>
      <w:r w:rsidR="00185134" w:rsidRPr="00E966F5">
        <w:rPr>
          <w:rFonts w:ascii="Times New Roman" w:hAnsi="Times New Roman" w:cs="Times New Roman"/>
          <w:sz w:val="24"/>
          <w:szCs w:val="24"/>
        </w:rPr>
        <w:t>/12 credits, with a lower bound of 0.1.</w:t>
      </w:r>
      <w:r w:rsidR="00951455">
        <w:rPr>
          <w:rFonts w:ascii="Times New Roman" w:hAnsi="Times New Roman" w:cs="Times New Roman"/>
          <w:sz w:val="24"/>
          <w:szCs w:val="24"/>
        </w:rPr>
        <w:t xml:space="preserve"> For example, managing the four CSS workshops with facilitators earns 0.333 credits. Managing the </w:t>
      </w:r>
      <w:r w:rsidR="00277E5A">
        <w:rPr>
          <w:rFonts w:ascii="Times New Roman" w:hAnsi="Times New Roman" w:cs="Times New Roman"/>
          <w:sz w:val="24"/>
          <w:szCs w:val="24"/>
        </w:rPr>
        <w:t>CES workshop</w:t>
      </w:r>
      <w:r w:rsidR="00951455">
        <w:rPr>
          <w:rFonts w:ascii="Times New Roman" w:hAnsi="Times New Roman" w:cs="Times New Roman"/>
          <w:sz w:val="24"/>
          <w:szCs w:val="24"/>
        </w:rPr>
        <w:t xml:space="preserve"> with facilitators earns 0.</w:t>
      </w:r>
      <w:r w:rsidR="00277E5A">
        <w:rPr>
          <w:rFonts w:ascii="Times New Roman" w:hAnsi="Times New Roman" w:cs="Times New Roman"/>
          <w:sz w:val="24"/>
          <w:szCs w:val="24"/>
        </w:rPr>
        <w:t>1 credit</w:t>
      </w:r>
      <w:r w:rsidR="00951455">
        <w:rPr>
          <w:rFonts w:ascii="Times New Roman" w:hAnsi="Times New Roman" w:cs="Times New Roman"/>
          <w:sz w:val="24"/>
          <w:szCs w:val="24"/>
        </w:rPr>
        <w:t xml:space="preserve">. Managing the </w:t>
      </w:r>
      <w:r w:rsidR="00277E5A">
        <w:rPr>
          <w:rFonts w:ascii="Times New Roman" w:hAnsi="Times New Roman" w:cs="Times New Roman"/>
          <w:sz w:val="24"/>
          <w:szCs w:val="24"/>
        </w:rPr>
        <w:t>two</w:t>
      </w:r>
      <w:r w:rsidR="00951455">
        <w:rPr>
          <w:rFonts w:ascii="Times New Roman" w:hAnsi="Times New Roman" w:cs="Times New Roman"/>
          <w:sz w:val="24"/>
          <w:szCs w:val="24"/>
        </w:rPr>
        <w:t xml:space="preserve"> ITS workshop</w:t>
      </w:r>
      <w:r w:rsidR="00277E5A">
        <w:rPr>
          <w:rFonts w:ascii="Times New Roman" w:hAnsi="Times New Roman" w:cs="Times New Roman"/>
          <w:sz w:val="24"/>
          <w:szCs w:val="24"/>
        </w:rPr>
        <w:t>s</w:t>
      </w:r>
      <w:r w:rsidR="00951455">
        <w:rPr>
          <w:rFonts w:ascii="Times New Roman" w:hAnsi="Times New Roman" w:cs="Times New Roman"/>
          <w:sz w:val="24"/>
          <w:szCs w:val="24"/>
        </w:rPr>
        <w:t xml:space="preserve"> with a facilitator</w:t>
      </w:r>
      <w:r w:rsidR="003121D1">
        <w:rPr>
          <w:rFonts w:ascii="Times New Roman" w:hAnsi="Times New Roman" w:cs="Times New Roman"/>
          <w:sz w:val="24"/>
          <w:szCs w:val="24"/>
        </w:rPr>
        <w:t xml:space="preserve"> earns 0.1</w:t>
      </w:r>
      <w:r w:rsidR="00277E5A">
        <w:rPr>
          <w:rFonts w:ascii="Times New Roman" w:hAnsi="Times New Roman" w:cs="Times New Roman"/>
          <w:sz w:val="24"/>
          <w:szCs w:val="24"/>
        </w:rPr>
        <w:t>67</w:t>
      </w:r>
      <w:r w:rsidR="003121D1">
        <w:rPr>
          <w:rFonts w:ascii="Times New Roman" w:hAnsi="Times New Roman" w:cs="Times New Roman"/>
          <w:sz w:val="24"/>
          <w:szCs w:val="24"/>
        </w:rPr>
        <w:t xml:space="preserve"> credit</w:t>
      </w:r>
      <w:r w:rsidR="00277E5A">
        <w:rPr>
          <w:rFonts w:ascii="Times New Roman" w:hAnsi="Times New Roman" w:cs="Times New Roman"/>
          <w:sz w:val="24"/>
          <w:szCs w:val="24"/>
        </w:rPr>
        <w:t>s</w:t>
      </w:r>
      <w:r w:rsidR="003121D1">
        <w:rPr>
          <w:rFonts w:ascii="Times New Roman" w:hAnsi="Times New Roman" w:cs="Times New Roman"/>
          <w:sz w:val="24"/>
          <w:szCs w:val="24"/>
        </w:rPr>
        <w:t>. Manag</w:t>
      </w:r>
      <w:r w:rsidR="00951455">
        <w:rPr>
          <w:rFonts w:ascii="Times New Roman" w:hAnsi="Times New Roman" w:cs="Times New Roman"/>
          <w:sz w:val="24"/>
          <w:szCs w:val="24"/>
        </w:rPr>
        <w:t>ing all 7 workshops with facilitators earns 0.583 credits.</w:t>
      </w:r>
      <w:r w:rsidR="007659AE">
        <w:rPr>
          <w:rFonts w:ascii="Times New Roman" w:hAnsi="Times New Roman" w:cs="Times New Roman"/>
          <w:sz w:val="24"/>
          <w:szCs w:val="24"/>
        </w:rPr>
        <w:t xml:space="preserve"> </w:t>
      </w:r>
      <w:r w:rsidR="007659AE">
        <w:rPr>
          <w:rFonts w:ascii="Times New Roman" w:hAnsi="Times New Roman" w:cs="Times New Roman"/>
          <w:i/>
          <w:sz w:val="24"/>
          <w:szCs w:val="24"/>
        </w:rPr>
        <w:t>Rationale:</w:t>
      </w:r>
      <w:r w:rsidR="007659AE">
        <w:rPr>
          <w:rFonts w:ascii="Times New Roman" w:hAnsi="Times New Roman" w:cs="Times New Roman"/>
          <w:sz w:val="24"/>
          <w:szCs w:val="24"/>
        </w:rPr>
        <w:t xml:space="preserve"> Managing the four CSS workshops takes about 4 hours per week, plus the time at the beginning and end of the quarter for hiring, training, and other administration.</w:t>
      </w:r>
    </w:p>
    <w:p w:rsidR="00C062E4" w:rsidRDefault="00C062E4" w:rsidP="00790B0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C7663A" w:rsidRPr="00E966F5">
        <w:rPr>
          <w:rFonts w:ascii="Times New Roman" w:hAnsi="Times New Roman" w:cs="Times New Roman"/>
          <w:sz w:val="24"/>
          <w:szCs w:val="24"/>
        </w:rPr>
        <w:t>irected readings, directed research (</w:t>
      </w:r>
      <w:r>
        <w:rPr>
          <w:rFonts w:ascii="Times New Roman" w:hAnsi="Times New Roman" w:cs="Times New Roman"/>
          <w:sz w:val="24"/>
          <w:szCs w:val="24"/>
        </w:rPr>
        <w:t>Txxx 498, 499</w:t>
      </w:r>
      <w:r w:rsidR="000A713A">
        <w:rPr>
          <w:rFonts w:ascii="Times New Roman" w:hAnsi="Times New Roman" w:cs="Times New Roman"/>
          <w:sz w:val="24"/>
          <w:szCs w:val="24"/>
        </w:rPr>
        <w:t>, 600</w:t>
      </w:r>
      <w:r>
        <w:rPr>
          <w:rFonts w:ascii="Times New Roman" w:hAnsi="Times New Roman" w:cs="Times New Roman"/>
          <w:sz w:val="24"/>
          <w:szCs w:val="24"/>
        </w:rPr>
        <w:t xml:space="preserve">). Earns 0.1 credit for each 5-credit directed study (pro-rated for fewer credits). </w:t>
      </w:r>
      <w:r w:rsidR="004C3150">
        <w:rPr>
          <w:rFonts w:ascii="Times New Roman" w:hAnsi="Times New Roman" w:cs="Times New Roman"/>
          <w:sz w:val="24"/>
          <w:szCs w:val="24"/>
        </w:rPr>
        <w:t>NOTE: Having a number of independent studies</w:t>
      </w:r>
      <w:r w:rsidR="009E0498">
        <w:rPr>
          <w:rFonts w:ascii="Times New Roman" w:hAnsi="Times New Roman" w:cs="Times New Roman"/>
          <w:sz w:val="24"/>
          <w:szCs w:val="24"/>
        </w:rPr>
        <w:t xml:space="preserve"> in the same term</w:t>
      </w:r>
      <w:r w:rsidR="004C3150">
        <w:rPr>
          <w:rFonts w:ascii="Times New Roman" w:hAnsi="Times New Roman" w:cs="Times New Roman"/>
          <w:sz w:val="24"/>
          <w:szCs w:val="24"/>
        </w:rPr>
        <w:t xml:space="preserve"> with essentially the same set of readings or project is </w:t>
      </w:r>
      <w:r w:rsidR="004C3150" w:rsidRPr="004C3150">
        <w:rPr>
          <w:rFonts w:ascii="Times New Roman" w:hAnsi="Times New Roman" w:cs="Times New Roman"/>
          <w:i/>
          <w:iCs/>
          <w:sz w:val="24"/>
          <w:szCs w:val="24"/>
        </w:rPr>
        <w:t>not</w:t>
      </w:r>
      <w:r w:rsidR="004C3150">
        <w:rPr>
          <w:rFonts w:ascii="Times New Roman" w:hAnsi="Times New Roman" w:cs="Times New Roman"/>
          <w:sz w:val="24"/>
          <w:szCs w:val="24"/>
        </w:rPr>
        <w:t xml:space="preserve"> in the spirit of th</w:t>
      </w:r>
      <w:r w:rsidR="004E679D">
        <w:rPr>
          <w:rFonts w:ascii="Times New Roman" w:hAnsi="Times New Roman" w:cs="Times New Roman"/>
          <w:sz w:val="24"/>
          <w:szCs w:val="24"/>
        </w:rPr>
        <w:t>ese guidelines</w:t>
      </w:r>
      <w:r w:rsidR="004C3150">
        <w:rPr>
          <w:rFonts w:ascii="Times New Roman" w:hAnsi="Times New Roman" w:cs="Times New Roman"/>
          <w:sz w:val="24"/>
          <w:szCs w:val="24"/>
        </w:rPr>
        <w:t>. If there are, say</w:t>
      </w:r>
      <w:r w:rsidR="002920F5">
        <w:rPr>
          <w:rFonts w:ascii="Times New Roman" w:hAnsi="Times New Roman" w:cs="Times New Roman"/>
          <w:sz w:val="24"/>
          <w:szCs w:val="24"/>
        </w:rPr>
        <w:t>,</w:t>
      </w:r>
      <w:r w:rsidR="004C3150">
        <w:rPr>
          <w:rFonts w:ascii="Times New Roman" w:hAnsi="Times New Roman" w:cs="Times New Roman"/>
          <w:sz w:val="24"/>
          <w:szCs w:val="24"/>
        </w:rPr>
        <w:t xml:space="preserve"> 10 students who all want to learn the same material, there should be a course for such a topic. If independent study is the only way to achieve this, then these directed studies should count as follows: 10 </w:t>
      </w:r>
      <w:r w:rsidR="009841E8">
        <w:rPr>
          <w:rFonts w:ascii="Times New Roman" w:hAnsi="Times New Roman" w:cs="Times New Roman"/>
          <w:sz w:val="24"/>
          <w:szCs w:val="24"/>
        </w:rPr>
        <w:t xml:space="preserve">students </w:t>
      </w:r>
      <w:r w:rsidR="00413E79">
        <w:rPr>
          <w:rFonts w:ascii="Times New Roman" w:hAnsi="Times New Roman" w:cs="Times New Roman"/>
          <w:sz w:val="24"/>
          <w:szCs w:val="24"/>
        </w:rPr>
        <w:t xml:space="preserve">(50 student-credits) </w:t>
      </w:r>
      <w:r w:rsidR="004C3150">
        <w:rPr>
          <w:rFonts w:ascii="Times New Roman" w:hAnsi="Times New Roman" w:cs="Times New Roman"/>
          <w:sz w:val="24"/>
          <w:szCs w:val="24"/>
        </w:rPr>
        <w:t>= 0.6 credits (just as a lecture course), 9 = 0.54 credits, 8 = 0.48 credits, …</w:t>
      </w:r>
      <w:r w:rsidR="00C142E4">
        <w:rPr>
          <w:rFonts w:ascii="Times New Roman" w:hAnsi="Times New Roman" w:cs="Times New Roman"/>
          <w:sz w:val="24"/>
          <w:szCs w:val="24"/>
        </w:rPr>
        <w:t xml:space="preserve"> </w:t>
      </w:r>
      <w:r w:rsidR="004C3150">
        <w:rPr>
          <w:rFonts w:ascii="Times New Roman" w:hAnsi="Times New Roman" w:cs="Times New Roman"/>
          <w:sz w:val="24"/>
          <w:szCs w:val="24"/>
        </w:rPr>
        <w:t xml:space="preserve">(linearly), 3 = 0.18 credits, 2 = 0.14 credits, 1 </w:t>
      </w:r>
      <w:r w:rsidR="00C66934">
        <w:rPr>
          <w:rFonts w:ascii="Times New Roman" w:hAnsi="Times New Roman" w:cs="Times New Roman"/>
          <w:sz w:val="24"/>
          <w:szCs w:val="24"/>
        </w:rPr>
        <w:t xml:space="preserve">(5 student-credits) </w:t>
      </w:r>
      <w:r>
        <w:rPr>
          <w:rFonts w:ascii="Times New Roman" w:hAnsi="Times New Roman" w:cs="Times New Roman"/>
          <w:sz w:val="24"/>
          <w:szCs w:val="24"/>
        </w:rPr>
        <w:t>= 0.1 credits.</w:t>
      </w:r>
      <w:r w:rsidR="009E0498">
        <w:rPr>
          <w:rFonts w:ascii="Times New Roman" w:hAnsi="Times New Roman" w:cs="Times New Roman"/>
          <w:sz w:val="24"/>
          <w:szCs w:val="24"/>
        </w:rPr>
        <w:br/>
      </w:r>
      <w:r w:rsidR="009E0498">
        <w:rPr>
          <w:rFonts w:ascii="Times New Roman" w:hAnsi="Times New Roman" w:cs="Times New Roman"/>
          <w:i/>
          <w:sz w:val="24"/>
          <w:szCs w:val="24"/>
        </w:rPr>
        <w:t>Rationale:</w:t>
      </w:r>
      <w:r w:rsidR="009E0498">
        <w:rPr>
          <w:rFonts w:ascii="Times New Roman" w:hAnsi="Times New Roman" w:cs="Times New Roman"/>
          <w:sz w:val="24"/>
          <w:szCs w:val="24"/>
        </w:rPr>
        <w:t xml:space="preserve"> We recognize that directed studies provide learning opportunities to students outside the curriculum. However, they are not as cost-effective as lecture courses. Thus, the faculty load credit is a compromise between the time faculty spends on a directed study (</w:t>
      </w:r>
      <w:r w:rsidR="008829B9">
        <w:rPr>
          <w:rFonts w:ascii="Times New Roman" w:hAnsi="Times New Roman" w:cs="Times New Roman"/>
          <w:sz w:val="24"/>
          <w:szCs w:val="24"/>
        </w:rPr>
        <w:t>about</w:t>
      </w:r>
      <w:r w:rsidR="009E0498">
        <w:rPr>
          <w:rFonts w:ascii="Times New Roman" w:hAnsi="Times New Roman" w:cs="Times New Roman"/>
          <w:sz w:val="24"/>
          <w:szCs w:val="24"/>
        </w:rPr>
        <w:t xml:space="preserve"> 2.5 hours per week, or 1/6 that of a lecture course) and the fact that it does not generate the same revenue as a lecture course (1/30 the revenue but 1/10 the credit when compared to a 30-student lecture course).</w:t>
      </w:r>
    </w:p>
    <w:p w:rsidR="00C7663A" w:rsidRDefault="00C062E4" w:rsidP="00C062E4">
      <w:pPr>
        <w:pStyle w:val="ListParagraph"/>
        <w:spacing w:after="0" w:line="240" w:lineRule="auto"/>
        <w:ind w:left="360"/>
        <w:rPr>
          <w:rFonts w:ascii="Times New Roman" w:hAnsi="Times New Roman" w:cs="Times New Roman"/>
          <w:sz w:val="24"/>
          <w:szCs w:val="24"/>
        </w:rPr>
      </w:pPr>
      <w:r w:rsidRPr="00C062E4">
        <w:rPr>
          <w:rFonts w:ascii="Times New Roman" w:hAnsi="Times New Roman" w:cs="Times New Roman"/>
          <w:i/>
          <w:sz w:val="24"/>
          <w:szCs w:val="24"/>
        </w:rPr>
        <w:t>Implementation:</w:t>
      </w:r>
      <w:r>
        <w:rPr>
          <w:rFonts w:ascii="Times New Roman" w:hAnsi="Times New Roman" w:cs="Times New Roman"/>
          <w:sz w:val="24"/>
          <w:szCs w:val="24"/>
        </w:rPr>
        <w:t xml:space="preserve"> </w:t>
      </w:r>
      <w:r w:rsidR="004C3150">
        <w:rPr>
          <w:rFonts w:ascii="Times New Roman" w:hAnsi="Times New Roman" w:cs="Times New Roman"/>
          <w:sz w:val="24"/>
          <w:szCs w:val="24"/>
        </w:rPr>
        <w:t>Consistent with previous policy</w:t>
      </w:r>
      <w:r w:rsidR="00796810">
        <w:rPr>
          <w:rFonts w:ascii="Times New Roman" w:hAnsi="Times New Roman" w:cs="Times New Roman"/>
          <w:sz w:val="24"/>
          <w:szCs w:val="24"/>
        </w:rPr>
        <w:t xml:space="preserve"> </w:t>
      </w:r>
      <w:r w:rsidR="00531A64">
        <w:rPr>
          <w:rFonts w:ascii="Times New Roman" w:hAnsi="Times New Roman" w:cs="Times New Roman"/>
          <w:sz w:val="24"/>
          <w:szCs w:val="24"/>
        </w:rPr>
        <w:t xml:space="preserve">in the Institute </w:t>
      </w:r>
      <w:r w:rsidR="00796810">
        <w:rPr>
          <w:rFonts w:ascii="Times New Roman" w:hAnsi="Times New Roman" w:cs="Times New Roman"/>
          <w:sz w:val="24"/>
          <w:szCs w:val="24"/>
        </w:rPr>
        <w:t>regarding directed studies</w:t>
      </w:r>
      <w:r w:rsidR="004C3150">
        <w:rPr>
          <w:rFonts w:ascii="Times New Roman" w:hAnsi="Times New Roman" w:cs="Times New Roman"/>
          <w:sz w:val="24"/>
          <w:szCs w:val="24"/>
        </w:rPr>
        <w:t xml:space="preserve">, all artifacts of directed studies (reports, project summaries, etc.) </w:t>
      </w:r>
      <w:r w:rsidR="0009265B">
        <w:rPr>
          <w:rFonts w:ascii="Times New Roman" w:hAnsi="Times New Roman" w:cs="Times New Roman"/>
          <w:sz w:val="24"/>
          <w:szCs w:val="24"/>
        </w:rPr>
        <w:t>shall</w:t>
      </w:r>
      <w:r w:rsidR="004C3150">
        <w:rPr>
          <w:rFonts w:ascii="Times New Roman" w:hAnsi="Times New Roman" w:cs="Times New Roman"/>
          <w:sz w:val="24"/>
          <w:szCs w:val="24"/>
        </w:rPr>
        <w:t xml:space="preserve"> be part of the supervising faculty’s annual report. </w:t>
      </w:r>
      <w:r>
        <w:rPr>
          <w:rFonts w:ascii="Times New Roman" w:hAnsi="Times New Roman" w:cs="Times New Roman"/>
          <w:sz w:val="24"/>
          <w:szCs w:val="24"/>
        </w:rPr>
        <w:t xml:space="preserve">The name and title of the directed study should be listed. </w:t>
      </w:r>
      <w:r w:rsidR="004C3150">
        <w:rPr>
          <w:rFonts w:ascii="Times New Roman" w:hAnsi="Times New Roman" w:cs="Times New Roman"/>
          <w:sz w:val="24"/>
          <w:szCs w:val="24"/>
        </w:rPr>
        <w:t xml:space="preserve">Directed readings that do not have any artifacts </w:t>
      </w:r>
      <w:r w:rsidR="000D3139">
        <w:rPr>
          <w:rFonts w:ascii="Times New Roman" w:hAnsi="Times New Roman" w:cs="Times New Roman"/>
          <w:sz w:val="24"/>
          <w:szCs w:val="24"/>
        </w:rPr>
        <w:t xml:space="preserve">reported </w:t>
      </w:r>
      <w:r w:rsidR="004C3150">
        <w:rPr>
          <w:rFonts w:ascii="Times New Roman" w:hAnsi="Times New Roman" w:cs="Times New Roman"/>
          <w:sz w:val="24"/>
          <w:szCs w:val="24"/>
        </w:rPr>
        <w:t>will not count toward the individual faculty’s credit.</w:t>
      </w:r>
    </w:p>
    <w:p w:rsidR="00DF6EDE" w:rsidRPr="00E966F5" w:rsidRDefault="00756130" w:rsidP="00790B0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DF6EDE">
        <w:rPr>
          <w:rFonts w:ascii="Times New Roman" w:hAnsi="Times New Roman" w:cs="Times New Roman"/>
          <w:sz w:val="24"/>
          <w:szCs w:val="24"/>
        </w:rPr>
        <w:t>aculty supervision of internship</w:t>
      </w:r>
      <w:r w:rsidR="00E6693E">
        <w:rPr>
          <w:rFonts w:ascii="Times New Roman" w:hAnsi="Times New Roman" w:cs="Times New Roman"/>
          <w:sz w:val="24"/>
          <w:szCs w:val="24"/>
        </w:rPr>
        <w:t xml:space="preserve"> (Txxx 497, 701</w:t>
      </w:r>
      <w:r w:rsidR="00A13583">
        <w:rPr>
          <w:rFonts w:ascii="Times New Roman" w:hAnsi="Times New Roman" w:cs="Times New Roman"/>
          <w:sz w:val="24"/>
          <w:szCs w:val="24"/>
        </w:rPr>
        <w:t>)</w:t>
      </w:r>
      <w:r w:rsidR="00BD3D39">
        <w:rPr>
          <w:rFonts w:ascii="Times New Roman" w:hAnsi="Times New Roman" w:cs="Times New Roman"/>
          <w:sz w:val="24"/>
          <w:szCs w:val="24"/>
        </w:rPr>
        <w:t>.</w:t>
      </w:r>
      <w:r w:rsidR="00BD3D39" w:rsidRPr="00BD3D39">
        <w:rPr>
          <w:rFonts w:ascii="Times New Roman" w:hAnsi="Times New Roman" w:cs="Times New Roman"/>
          <w:sz w:val="24"/>
          <w:szCs w:val="24"/>
        </w:rPr>
        <w:t xml:space="preserve"> </w:t>
      </w:r>
      <w:r w:rsidR="00BD3D39">
        <w:rPr>
          <w:rFonts w:ascii="Times New Roman" w:hAnsi="Times New Roman" w:cs="Times New Roman"/>
          <w:sz w:val="24"/>
          <w:szCs w:val="24"/>
        </w:rPr>
        <w:t>Earns 0.05 credit for each 5-credit directed study (pro-rated for fewer credits).</w:t>
      </w:r>
      <w:r w:rsidR="0009265B">
        <w:rPr>
          <w:rFonts w:ascii="Times New Roman" w:hAnsi="Times New Roman" w:cs="Times New Roman"/>
          <w:sz w:val="24"/>
          <w:szCs w:val="24"/>
        </w:rPr>
        <w:t xml:space="preserve"> As with directed studies, artifacts from the internship, such as the Colloquium presentation, shall be included in the sponsoring faculty’s annual report to be awarded credit.</w:t>
      </w:r>
      <w:r>
        <w:rPr>
          <w:rFonts w:ascii="Times New Roman" w:hAnsi="Times New Roman" w:cs="Times New Roman"/>
          <w:sz w:val="24"/>
          <w:szCs w:val="24"/>
        </w:rPr>
        <w:t xml:space="preserve"> The name and title of the internship should be listed.</w:t>
      </w:r>
    </w:p>
    <w:p w:rsidR="00C7663A" w:rsidRDefault="000618C6" w:rsidP="00790B0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C7663A" w:rsidRPr="00E966F5">
        <w:rPr>
          <w:rFonts w:ascii="Times New Roman" w:hAnsi="Times New Roman" w:cs="Times New Roman"/>
          <w:sz w:val="24"/>
          <w:szCs w:val="24"/>
        </w:rPr>
        <w:t>ast</w:t>
      </w:r>
      <w:r w:rsidR="00D828C6">
        <w:rPr>
          <w:rFonts w:ascii="Times New Roman" w:hAnsi="Times New Roman" w:cs="Times New Roman"/>
          <w:sz w:val="24"/>
          <w:szCs w:val="24"/>
        </w:rPr>
        <w:t>ers thesis/project supervision. The Chair of the committee earns</w:t>
      </w:r>
      <w:r w:rsidR="00CC0235" w:rsidRPr="00E966F5">
        <w:rPr>
          <w:rFonts w:ascii="Times New Roman" w:hAnsi="Times New Roman" w:cs="Times New Roman"/>
          <w:sz w:val="24"/>
          <w:szCs w:val="24"/>
        </w:rPr>
        <w:t xml:space="preserve"> </w:t>
      </w:r>
      <w:r w:rsidR="003F0C01">
        <w:rPr>
          <w:rFonts w:ascii="Times New Roman" w:hAnsi="Times New Roman" w:cs="Times New Roman"/>
          <w:sz w:val="24"/>
          <w:szCs w:val="24"/>
        </w:rPr>
        <w:t>0.1</w:t>
      </w:r>
      <w:r w:rsidR="00EE0D3A">
        <w:rPr>
          <w:rFonts w:ascii="Times New Roman" w:hAnsi="Times New Roman" w:cs="Times New Roman"/>
          <w:sz w:val="24"/>
          <w:szCs w:val="24"/>
        </w:rPr>
        <w:t>2</w:t>
      </w:r>
      <w:r w:rsidR="004618CB">
        <w:rPr>
          <w:rFonts w:ascii="Times New Roman" w:hAnsi="Times New Roman" w:cs="Times New Roman"/>
          <w:sz w:val="24"/>
          <w:szCs w:val="24"/>
        </w:rPr>
        <w:t>5</w:t>
      </w:r>
      <w:r w:rsidR="003F0C01">
        <w:rPr>
          <w:rFonts w:ascii="Times New Roman" w:hAnsi="Times New Roman" w:cs="Times New Roman"/>
          <w:sz w:val="24"/>
          <w:szCs w:val="24"/>
        </w:rPr>
        <w:t xml:space="preserve"> per </w:t>
      </w:r>
      <w:r w:rsidR="00C66934">
        <w:rPr>
          <w:rFonts w:ascii="Times New Roman" w:hAnsi="Times New Roman" w:cs="Times New Roman"/>
          <w:sz w:val="24"/>
          <w:szCs w:val="24"/>
        </w:rPr>
        <w:t xml:space="preserve">5 </w:t>
      </w:r>
      <w:r w:rsidR="003F0C01">
        <w:rPr>
          <w:rFonts w:ascii="Times New Roman" w:hAnsi="Times New Roman" w:cs="Times New Roman"/>
          <w:sz w:val="24"/>
          <w:szCs w:val="24"/>
        </w:rPr>
        <w:t>student</w:t>
      </w:r>
      <w:r w:rsidR="00C66934">
        <w:rPr>
          <w:rFonts w:ascii="Times New Roman" w:hAnsi="Times New Roman" w:cs="Times New Roman"/>
          <w:sz w:val="24"/>
          <w:szCs w:val="24"/>
        </w:rPr>
        <w:t>-credits</w:t>
      </w:r>
      <w:r w:rsidR="003F0C01">
        <w:rPr>
          <w:rFonts w:ascii="Times New Roman" w:hAnsi="Times New Roman" w:cs="Times New Roman"/>
          <w:sz w:val="24"/>
          <w:szCs w:val="24"/>
        </w:rPr>
        <w:t xml:space="preserve">, </w:t>
      </w:r>
      <w:r w:rsidR="00D828C6">
        <w:rPr>
          <w:rFonts w:ascii="Times New Roman" w:hAnsi="Times New Roman" w:cs="Times New Roman"/>
          <w:sz w:val="24"/>
          <w:szCs w:val="24"/>
        </w:rPr>
        <w:t xml:space="preserve">and a </w:t>
      </w:r>
      <w:r w:rsidR="003F0C01">
        <w:rPr>
          <w:rFonts w:ascii="Times New Roman" w:hAnsi="Times New Roman" w:cs="Times New Roman"/>
          <w:sz w:val="24"/>
          <w:szCs w:val="24"/>
        </w:rPr>
        <w:t>non-Chair</w:t>
      </w:r>
      <w:r w:rsidR="00D828C6">
        <w:rPr>
          <w:rFonts w:ascii="Times New Roman" w:hAnsi="Times New Roman" w:cs="Times New Roman"/>
          <w:sz w:val="24"/>
          <w:szCs w:val="24"/>
        </w:rPr>
        <w:t xml:space="preserve"> earns</w:t>
      </w:r>
      <w:r w:rsidR="004618CB">
        <w:rPr>
          <w:rFonts w:ascii="Times New Roman" w:hAnsi="Times New Roman" w:cs="Times New Roman"/>
          <w:sz w:val="24"/>
          <w:szCs w:val="24"/>
        </w:rPr>
        <w:t xml:space="preserve"> 0.05</w:t>
      </w:r>
      <w:r w:rsidR="00C66934">
        <w:rPr>
          <w:rFonts w:ascii="Times New Roman" w:hAnsi="Times New Roman" w:cs="Times New Roman"/>
          <w:sz w:val="24"/>
          <w:szCs w:val="24"/>
        </w:rPr>
        <w:t xml:space="preserve"> per 5 student-credits</w:t>
      </w:r>
      <w:r w:rsidR="00D828C6">
        <w:rPr>
          <w:rFonts w:ascii="Times New Roman" w:hAnsi="Times New Roman" w:cs="Times New Roman"/>
          <w:sz w:val="24"/>
          <w:szCs w:val="24"/>
        </w:rPr>
        <w:t>. A single thesis/project cannot earn more than 0.</w:t>
      </w:r>
      <w:r w:rsidR="00EE0D3A">
        <w:rPr>
          <w:rFonts w:ascii="Times New Roman" w:hAnsi="Times New Roman" w:cs="Times New Roman"/>
          <w:sz w:val="24"/>
          <w:szCs w:val="24"/>
        </w:rPr>
        <w:t>25</w:t>
      </w:r>
      <w:r w:rsidR="00D828C6">
        <w:rPr>
          <w:rFonts w:ascii="Times New Roman" w:hAnsi="Times New Roman" w:cs="Times New Roman"/>
          <w:sz w:val="24"/>
          <w:szCs w:val="24"/>
        </w:rPr>
        <w:t xml:space="preserve"> (chair) or 0.</w:t>
      </w:r>
      <w:r w:rsidR="00456F37">
        <w:rPr>
          <w:rFonts w:ascii="Times New Roman" w:hAnsi="Times New Roman" w:cs="Times New Roman"/>
          <w:sz w:val="24"/>
          <w:szCs w:val="24"/>
        </w:rPr>
        <w:t>1</w:t>
      </w:r>
      <w:r w:rsidR="00D828C6">
        <w:rPr>
          <w:rFonts w:ascii="Times New Roman" w:hAnsi="Times New Roman" w:cs="Times New Roman"/>
          <w:sz w:val="24"/>
          <w:szCs w:val="24"/>
        </w:rPr>
        <w:t xml:space="preserve"> (non-chair) for a faculty member. </w:t>
      </w:r>
      <w:r w:rsidR="00D828C6">
        <w:rPr>
          <w:rFonts w:ascii="Times New Roman" w:hAnsi="Times New Roman" w:cs="Times New Roman"/>
          <w:i/>
          <w:sz w:val="24"/>
          <w:szCs w:val="24"/>
        </w:rPr>
        <w:t>Rationale:</w:t>
      </w:r>
      <w:r w:rsidR="00D828C6">
        <w:rPr>
          <w:rFonts w:ascii="Times New Roman" w:hAnsi="Times New Roman" w:cs="Times New Roman"/>
          <w:sz w:val="24"/>
          <w:szCs w:val="24"/>
        </w:rPr>
        <w:t xml:space="preserve"> </w:t>
      </w:r>
      <w:r w:rsidR="00436259">
        <w:rPr>
          <w:rFonts w:ascii="Times New Roman" w:hAnsi="Times New Roman" w:cs="Times New Roman"/>
          <w:sz w:val="24"/>
          <w:szCs w:val="24"/>
        </w:rPr>
        <w:t xml:space="preserve">Although the credit awarded is not commensurate with the revenue generated, supervising masters projects and theses is an important activity of Graduate Faculty. </w:t>
      </w:r>
      <w:r w:rsidR="004618CB">
        <w:rPr>
          <w:rFonts w:ascii="Times New Roman" w:hAnsi="Times New Roman" w:cs="Times New Roman"/>
          <w:sz w:val="24"/>
          <w:szCs w:val="24"/>
        </w:rPr>
        <w:t xml:space="preserve">The Chair of the committee </w:t>
      </w:r>
      <w:r w:rsidR="00456F37">
        <w:rPr>
          <w:rFonts w:ascii="Times New Roman" w:hAnsi="Times New Roman" w:cs="Times New Roman"/>
          <w:sz w:val="24"/>
          <w:szCs w:val="24"/>
        </w:rPr>
        <w:t>has responsibilities that go beyond that</w:t>
      </w:r>
      <w:r w:rsidR="00436259">
        <w:rPr>
          <w:rFonts w:ascii="Times New Roman" w:hAnsi="Times New Roman" w:cs="Times New Roman"/>
          <w:sz w:val="24"/>
          <w:szCs w:val="24"/>
        </w:rPr>
        <w:t xml:space="preserve"> </w:t>
      </w:r>
      <w:r w:rsidR="00456F37">
        <w:rPr>
          <w:rFonts w:ascii="Times New Roman" w:hAnsi="Times New Roman" w:cs="Times New Roman"/>
          <w:sz w:val="24"/>
          <w:szCs w:val="24"/>
        </w:rPr>
        <w:t>of other member</w:t>
      </w:r>
      <w:r w:rsidR="00436259">
        <w:rPr>
          <w:rFonts w:ascii="Times New Roman" w:hAnsi="Times New Roman" w:cs="Times New Roman"/>
          <w:sz w:val="24"/>
          <w:szCs w:val="24"/>
        </w:rPr>
        <w:t>s</w:t>
      </w:r>
      <w:r w:rsidR="00456F37">
        <w:rPr>
          <w:rFonts w:ascii="Times New Roman" w:hAnsi="Times New Roman" w:cs="Times New Roman"/>
          <w:sz w:val="24"/>
          <w:szCs w:val="24"/>
        </w:rPr>
        <w:t xml:space="preserve">. It may be that the intellectual responsibilities are evenly divided among committee members, but </w:t>
      </w:r>
      <w:r w:rsidR="00456F37" w:rsidRPr="00456F37">
        <w:rPr>
          <w:rFonts w:ascii="Times New Roman" w:hAnsi="Times New Roman" w:cs="Times New Roman"/>
          <w:i/>
          <w:sz w:val="24"/>
          <w:szCs w:val="24"/>
        </w:rPr>
        <w:t>generally speaking</w:t>
      </w:r>
      <w:r w:rsidR="00456F37">
        <w:rPr>
          <w:rFonts w:ascii="Times New Roman" w:hAnsi="Times New Roman" w:cs="Times New Roman"/>
          <w:sz w:val="24"/>
          <w:szCs w:val="24"/>
        </w:rPr>
        <w:t xml:space="preserve">, the Chair takes on the brunt of work in a thesis/project. </w:t>
      </w:r>
      <w:r w:rsidR="00456F37">
        <w:rPr>
          <w:rFonts w:ascii="Times New Roman" w:hAnsi="Times New Roman" w:cs="Times New Roman"/>
          <w:i/>
          <w:sz w:val="24"/>
          <w:szCs w:val="24"/>
        </w:rPr>
        <w:t>Implementation:</w:t>
      </w:r>
      <w:r w:rsidR="00456F37">
        <w:rPr>
          <w:rFonts w:ascii="Times New Roman" w:hAnsi="Times New Roman" w:cs="Times New Roman"/>
          <w:sz w:val="24"/>
          <w:szCs w:val="24"/>
        </w:rPr>
        <w:t xml:space="preserve"> The name and title of the masters thesis/project should be listed in the faculty member’s annual report. If a </w:t>
      </w:r>
      <w:r w:rsidR="00456F37">
        <w:rPr>
          <w:rFonts w:ascii="Times New Roman" w:hAnsi="Times New Roman" w:cs="Times New Roman"/>
          <w:sz w:val="24"/>
          <w:szCs w:val="24"/>
        </w:rPr>
        <w:lastRenderedPageBreak/>
        <w:t>different allocation of the credit is justified, some mention of it should be made in the annual report</w:t>
      </w:r>
      <w:r w:rsidR="00CE21EC">
        <w:rPr>
          <w:rFonts w:ascii="Times New Roman" w:hAnsi="Times New Roman" w:cs="Times New Roman"/>
          <w:sz w:val="24"/>
          <w:szCs w:val="24"/>
        </w:rPr>
        <w:t>s of all involved</w:t>
      </w:r>
      <w:r w:rsidR="00456F37">
        <w:rPr>
          <w:rFonts w:ascii="Times New Roman" w:hAnsi="Times New Roman" w:cs="Times New Roman"/>
          <w:sz w:val="24"/>
          <w:szCs w:val="24"/>
        </w:rPr>
        <w:t>.</w:t>
      </w:r>
    </w:p>
    <w:p w:rsidR="003F0C01" w:rsidRDefault="003F0C01" w:rsidP="00790B0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more than 1.0 in credit </w:t>
      </w:r>
      <w:r w:rsidR="0009265B">
        <w:rPr>
          <w:rFonts w:ascii="Times New Roman" w:hAnsi="Times New Roman" w:cs="Times New Roman"/>
          <w:sz w:val="24"/>
          <w:szCs w:val="24"/>
        </w:rPr>
        <w:t>shall</w:t>
      </w:r>
      <w:r>
        <w:rPr>
          <w:rFonts w:ascii="Times New Roman" w:hAnsi="Times New Roman" w:cs="Times New Roman"/>
          <w:sz w:val="24"/>
          <w:szCs w:val="24"/>
        </w:rPr>
        <w:t xml:space="preserve"> be awarded </w:t>
      </w:r>
      <w:r w:rsidR="00E22159">
        <w:rPr>
          <w:rFonts w:ascii="Times New Roman" w:hAnsi="Times New Roman" w:cs="Times New Roman"/>
          <w:sz w:val="24"/>
          <w:szCs w:val="24"/>
        </w:rPr>
        <w:t xml:space="preserve">in any one </w:t>
      </w:r>
      <w:r w:rsidR="0009265B">
        <w:rPr>
          <w:rFonts w:ascii="Times New Roman" w:hAnsi="Times New Roman" w:cs="Times New Roman"/>
          <w:sz w:val="24"/>
          <w:szCs w:val="24"/>
        </w:rPr>
        <w:t xml:space="preserve">academic </w:t>
      </w:r>
      <w:r w:rsidR="00ED590B">
        <w:rPr>
          <w:rFonts w:ascii="Times New Roman" w:hAnsi="Times New Roman" w:cs="Times New Roman"/>
          <w:sz w:val="24"/>
          <w:szCs w:val="24"/>
        </w:rPr>
        <w:t xml:space="preserve">year for any one faculty member </w:t>
      </w:r>
      <w:r>
        <w:rPr>
          <w:rFonts w:ascii="Times New Roman" w:hAnsi="Times New Roman" w:cs="Times New Roman"/>
          <w:sz w:val="24"/>
          <w:szCs w:val="24"/>
        </w:rPr>
        <w:t xml:space="preserve">for directed readings, directed research, </w:t>
      </w:r>
      <w:r w:rsidR="008A58F4">
        <w:rPr>
          <w:rFonts w:ascii="Times New Roman" w:hAnsi="Times New Roman" w:cs="Times New Roman"/>
          <w:sz w:val="24"/>
          <w:szCs w:val="24"/>
        </w:rPr>
        <w:t>internship</w:t>
      </w:r>
      <w:r w:rsidR="00FE318F">
        <w:rPr>
          <w:rFonts w:ascii="Times New Roman" w:hAnsi="Times New Roman" w:cs="Times New Roman"/>
          <w:sz w:val="24"/>
          <w:szCs w:val="24"/>
        </w:rPr>
        <w:t>s</w:t>
      </w:r>
      <w:r w:rsidR="008A58F4">
        <w:rPr>
          <w:rFonts w:ascii="Times New Roman" w:hAnsi="Times New Roman" w:cs="Times New Roman"/>
          <w:sz w:val="24"/>
          <w:szCs w:val="24"/>
        </w:rPr>
        <w:t xml:space="preserve">, </w:t>
      </w:r>
      <w:r>
        <w:rPr>
          <w:rFonts w:ascii="Times New Roman" w:hAnsi="Times New Roman" w:cs="Times New Roman"/>
          <w:sz w:val="24"/>
          <w:szCs w:val="24"/>
        </w:rPr>
        <w:t>and masters thesis/project supervision</w:t>
      </w:r>
      <w:r w:rsidR="00ED590B">
        <w:rPr>
          <w:rFonts w:ascii="Times New Roman" w:hAnsi="Times New Roman" w:cs="Times New Roman"/>
          <w:sz w:val="24"/>
          <w:szCs w:val="24"/>
        </w:rPr>
        <w:t xml:space="preserve"> (collectively)</w:t>
      </w:r>
      <w:r>
        <w:rPr>
          <w:rFonts w:ascii="Times New Roman" w:hAnsi="Times New Roman" w:cs="Times New Roman"/>
          <w:sz w:val="24"/>
          <w:szCs w:val="24"/>
        </w:rPr>
        <w:t>.</w:t>
      </w:r>
    </w:p>
    <w:p w:rsidR="00C12C5E" w:rsidRDefault="00C12C5E" w:rsidP="00790B0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Co-located courses (e.g., typically an undergraduate course with a graduate course) are to be treated as a single course with an enrollment equal to the sum of the enrollments in the individual courses.</w:t>
      </w:r>
    </w:p>
    <w:p w:rsidR="004E1A1C" w:rsidRPr="00E966F5" w:rsidRDefault="00252DEA" w:rsidP="00790B0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Non-5-unit courses or courses that do not fit any of the categories above will be assigned credit according to which category that best describes it and will be pro-rated according to the number of credits. For example, a 3-unit short course in CSS would earn 60% the credit as a 5-unit upper division lecture course.</w:t>
      </w:r>
    </w:p>
    <w:p w:rsidR="00C7663A" w:rsidRDefault="00C7663A" w:rsidP="00C7663A">
      <w:pPr>
        <w:spacing w:after="0" w:line="240" w:lineRule="auto"/>
        <w:rPr>
          <w:rFonts w:ascii="Times New Roman" w:hAnsi="Times New Roman" w:cs="Times New Roman"/>
          <w:sz w:val="24"/>
          <w:szCs w:val="24"/>
        </w:rPr>
      </w:pPr>
    </w:p>
    <w:p w:rsidR="009B527B" w:rsidRPr="00C7663A" w:rsidRDefault="009B527B" w:rsidP="00C766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Faculty are expected </w:t>
      </w:r>
      <w:r w:rsidR="008445D6">
        <w:rPr>
          <w:rFonts w:ascii="Times New Roman" w:hAnsi="Times New Roman" w:cs="Times New Roman"/>
          <w:sz w:val="24"/>
          <w:szCs w:val="24"/>
        </w:rPr>
        <w:t xml:space="preserve">occasionally </w:t>
      </w:r>
      <w:r>
        <w:rPr>
          <w:rFonts w:ascii="Times New Roman" w:hAnsi="Times New Roman" w:cs="Times New Roman"/>
          <w:sz w:val="24"/>
          <w:szCs w:val="24"/>
        </w:rPr>
        <w:t xml:space="preserve">to teach courses that are new preps. Although a new prep </w:t>
      </w:r>
      <w:r w:rsidRPr="009B527B">
        <w:rPr>
          <w:rFonts w:ascii="Times New Roman" w:hAnsi="Times New Roman" w:cs="Times New Roman"/>
          <w:i/>
          <w:iCs/>
          <w:sz w:val="24"/>
          <w:szCs w:val="24"/>
        </w:rPr>
        <w:t>could</w:t>
      </w:r>
      <w:r>
        <w:rPr>
          <w:rFonts w:ascii="Times New Roman" w:hAnsi="Times New Roman" w:cs="Times New Roman"/>
          <w:sz w:val="24"/>
          <w:szCs w:val="24"/>
        </w:rPr>
        <w:t xml:space="preserve"> count for more credit than a regular course, there are difficulties with determining how much credit should be assigned. Therefore, it is up to the collective faculty to distribute new preps equitably or to decide collectively how many credits a new prep is worth, perhaps on a case-by-case basis.</w:t>
      </w:r>
    </w:p>
    <w:p w:rsidR="00C7663A" w:rsidRDefault="00C7663A" w:rsidP="00C7663A">
      <w:pPr>
        <w:spacing w:after="0" w:line="240" w:lineRule="auto"/>
        <w:rPr>
          <w:rFonts w:ascii="Times New Roman" w:hAnsi="Times New Roman" w:cs="Times New Roman"/>
          <w:sz w:val="24"/>
          <w:szCs w:val="24"/>
        </w:rPr>
      </w:pPr>
      <w:r w:rsidRPr="00C7663A">
        <w:rPr>
          <w:rFonts w:ascii="Times New Roman" w:hAnsi="Times New Roman" w:cs="Times New Roman"/>
          <w:sz w:val="24"/>
          <w:szCs w:val="24"/>
        </w:rPr>
        <w:t>NOTE: this arrangement does not take into account the quality of</w:t>
      </w:r>
      <w:r w:rsidR="00CC0235">
        <w:rPr>
          <w:rFonts w:ascii="Times New Roman" w:hAnsi="Times New Roman" w:cs="Times New Roman"/>
          <w:sz w:val="24"/>
          <w:szCs w:val="24"/>
        </w:rPr>
        <w:t xml:space="preserve"> </w:t>
      </w:r>
      <w:r w:rsidRPr="00C7663A">
        <w:rPr>
          <w:rFonts w:ascii="Times New Roman" w:hAnsi="Times New Roman" w:cs="Times New Roman"/>
          <w:sz w:val="24"/>
          <w:szCs w:val="24"/>
        </w:rPr>
        <w:t>teaching</w:t>
      </w:r>
      <w:r w:rsidR="0000695E">
        <w:rPr>
          <w:rFonts w:ascii="Times New Roman" w:hAnsi="Times New Roman" w:cs="Times New Roman"/>
          <w:sz w:val="24"/>
          <w:szCs w:val="24"/>
        </w:rPr>
        <w:t>, nor does it intend to</w:t>
      </w:r>
      <w:r w:rsidRPr="00C7663A">
        <w:rPr>
          <w:rFonts w:ascii="Times New Roman" w:hAnsi="Times New Roman" w:cs="Times New Roman"/>
          <w:sz w:val="24"/>
          <w:szCs w:val="24"/>
        </w:rPr>
        <w:t>. Instructors can put more or less time and effort into a</w:t>
      </w:r>
      <w:r w:rsidR="00CC0235">
        <w:rPr>
          <w:rFonts w:ascii="Times New Roman" w:hAnsi="Times New Roman" w:cs="Times New Roman"/>
          <w:sz w:val="24"/>
          <w:szCs w:val="24"/>
        </w:rPr>
        <w:t xml:space="preserve"> </w:t>
      </w:r>
      <w:r w:rsidRPr="00C7663A">
        <w:rPr>
          <w:rFonts w:ascii="Times New Roman" w:hAnsi="Times New Roman" w:cs="Times New Roman"/>
          <w:sz w:val="24"/>
          <w:szCs w:val="24"/>
        </w:rPr>
        <w:t>course based on their own standards (as with scholarship).</w:t>
      </w:r>
    </w:p>
    <w:p w:rsidR="004C3150" w:rsidRPr="00C7663A" w:rsidRDefault="004C3150" w:rsidP="00C7663A">
      <w:pPr>
        <w:spacing w:after="0" w:line="240" w:lineRule="auto"/>
        <w:rPr>
          <w:rFonts w:ascii="Times New Roman" w:hAnsi="Times New Roman" w:cs="Times New Roman"/>
          <w:sz w:val="24"/>
          <w:szCs w:val="24"/>
        </w:rPr>
      </w:pPr>
    </w:p>
    <w:p w:rsidR="00C7663A" w:rsidRPr="00DF2A28" w:rsidRDefault="00DF2A28" w:rsidP="00C7663A">
      <w:pPr>
        <w:spacing w:after="0" w:line="240" w:lineRule="auto"/>
        <w:rPr>
          <w:rFonts w:ascii="Times New Roman" w:hAnsi="Times New Roman" w:cs="Times New Roman"/>
          <w:b/>
          <w:sz w:val="24"/>
          <w:szCs w:val="24"/>
        </w:rPr>
      </w:pPr>
      <w:r>
        <w:rPr>
          <w:rFonts w:ascii="Times New Roman" w:hAnsi="Times New Roman" w:cs="Times New Roman"/>
          <w:b/>
          <w:sz w:val="24"/>
          <w:szCs w:val="24"/>
        </w:rPr>
        <w:t>Departmental and University Service O</w:t>
      </w:r>
      <w:r w:rsidR="00C7663A" w:rsidRPr="00DF2A28">
        <w:rPr>
          <w:rFonts w:ascii="Times New Roman" w:hAnsi="Times New Roman" w:cs="Times New Roman"/>
          <w:b/>
          <w:sz w:val="24"/>
          <w:szCs w:val="24"/>
        </w:rPr>
        <w:t>bligations</w:t>
      </w:r>
    </w:p>
    <w:p w:rsidR="00C7663A" w:rsidRPr="00C7663A" w:rsidRDefault="00C7663A" w:rsidP="00C7663A">
      <w:pPr>
        <w:spacing w:after="0" w:line="240" w:lineRule="auto"/>
        <w:rPr>
          <w:rFonts w:ascii="Times New Roman" w:hAnsi="Times New Roman" w:cs="Times New Roman"/>
          <w:sz w:val="24"/>
          <w:szCs w:val="24"/>
        </w:rPr>
      </w:pPr>
    </w:p>
    <w:p w:rsidR="00C7663A" w:rsidRPr="00C7663A" w:rsidRDefault="00C7663A" w:rsidP="003D0F8E">
      <w:pPr>
        <w:spacing w:after="0" w:line="240" w:lineRule="auto"/>
        <w:ind w:firstLine="720"/>
        <w:rPr>
          <w:rFonts w:ascii="Times New Roman" w:hAnsi="Times New Roman" w:cs="Times New Roman"/>
          <w:sz w:val="24"/>
          <w:szCs w:val="24"/>
        </w:rPr>
      </w:pPr>
      <w:r w:rsidRPr="00C7663A">
        <w:rPr>
          <w:rFonts w:ascii="Times New Roman" w:hAnsi="Times New Roman" w:cs="Times New Roman"/>
          <w:sz w:val="24"/>
          <w:szCs w:val="24"/>
        </w:rPr>
        <w:t>In general, it is responsibility of both the Director and individual</w:t>
      </w:r>
      <w:r w:rsidR="00DF2A28">
        <w:rPr>
          <w:rFonts w:ascii="Times New Roman" w:hAnsi="Times New Roman" w:cs="Times New Roman"/>
          <w:sz w:val="24"/>
          <w:szCs w:val="24"/>
        </w:rPr>
        <w:t xml:space="preserve"> </w:t>
      </w:r>
      <w:r w:rsidRPr="00C7663A">
        <w:rPr>
          <w:rFonts w:ascii="Times New Roman" w:hAnsi="Times New Roman" w:cs="Times New Roman"/>
          <w:sz w:val="24"/>
          <w:szCs w:val="24"/>
        </w:rPr>
        <w:t>faculty to be sure that service obligations are not too burdensome.</w:t>
      </w:r>
      <w:r w:rsidR="00DF2A28">
        <w:rPr>
          <w:rFonts w:ascii="Times New Roman" w:hAnsi="Times New Roman" w:cs="Times New Roman"/>
          <w:sz w:val="24"/>
          <w:szCs w:val="24"/>
        </w:rPr>
        <w:t xml:space="preserve"> </w:t>
      </w:r>
      <w:r w:rsidRPr="00C7663A">
        <w:rPr>
          <w:rFonts w:ascii="Times New Roman" w:hAnsi="Times New Roman" w:cs="Times New Roman"/>
          <w:sz w:val="24"/>
          <w:szCs w:val="24"/>
        </w:rPr>
        <w:t>However, there are often immediate needs of the program that need</w:t>
      </w:r>
      <w:r w:rsidR="00DF2A28">
        <w:rPr>
          <w:rFonts w:ascii="Times New Roman" w:hAnsi="Times New Roman" w:cs="Times New Roman"/>
          <w:sz w:val="24"/>
          <w:szCs w:val="24"/>
        </w:rPr>
        <w:t xml:space="preserve"> </w:t>
      </w:r>
      <w:r w:rsidRPr="00C7663A">
        <w:rPr>
          <w:rFonts w:ascii="Times New Roman" w:hAnsi="Times New Roman" w:cs="Times New Roman"/>
          <w:sz w:val="24"/>
          <w:szCs w:val="24"/>
        </w:rPr>
        <w:t>attending. It is up to faculty to collectively decide how to</w:t>
      </w:r>
      <w:r w:rsidR="00DF2A28">
        <w:rPr>
          <w:rFonts w:ascii="Times New Roman" w:hAnsi="Times New Roman" w:cs="Times New Roman"/>
          <w:sz w:val="24"/>
          <w:szCs w:val="24"/>
        </w:rPr>
        <w:t xml:space="preserve"> </w:t>
      </w:r>
      <w:r w:rsidRPr="00C7663A">
        <w:rPr>
          <w:rFonts w:ascii="Times New Roman" w:hAnsi="Times New Roman" w:cs="Times New Roman"/>
          <w:sz w:val="24"/>
          <w:szCs w:val="24"/>
        </w:rPr>
        <w:t>distribute routine service obligations (e.g., through a session</w:t>
      </w:r>
      <w:r w:rsidR="00DF2A28">
        <w:rPr>
          <w:rFonts w:ascii="Times New Roman" w:hAnsi="Times New Roman" w:cs="Times New Roman"/>
          <w:sz w:val="24"/>
          <w:szCs w:val="24"/>
        </w:rPr>
        <w:t xml:space="preserve"> </w:t>
      </w:r>
      <w:r w:rsidRPr="00C7663A">
        <w:rPr>
          <w:rFonts w:ascii="Times New Roman" w:hAnsi="Times New Roman" w:cs="Times New Roman"/>
          <w:sz w:val="24"/>
          <w:szCs w:val="24"/>
        </w:rPr>
        <w:t>at Retreat</w:t>
      </w:r>
      <w:r w:rsidR="00655E3B">
        <w:rPr>
          <w:rFonts w:ascii="Times New Roman" w:hAnsi="Times New Roman" w:cs="Times New Roman"/>
          <w:sz w:val="24"/>
          <w:szCs w:val="24"/>
        </w:rPr>
        <w:t xml:space="preserve"> or faculty meeting</w:t>
      </w:r>
      <w:r w:rsidRPr="00C7663A">
        <w:rPr>
          <w:rFonts w:ascii="Times New Roman" w:hAnsi="Times New Roman" w:cs="Times New Roman"/>
          <w:sz w:val="24"/>
          <w:szCs w:val="24"/>
        </w:rPr>
        <w:t>).</w:t>
      </w:r>
    </w:p>
    <w:p w:rsidR="00C7663A" w:rsidRPr="00C7663A" w:rsidRDefault="00C7663A" w:rsidP="00C7663A">
      <w:pPr>
        <w:spacing w:after="0" w:line="240" w:lineRule="auto"/>
        <w:rPr>
          <w:rFonts w:ascii="Times New Roman" w:hAnsi="Times New Roman" w:cs="Times New Roman"/>
          <w:sz w:val="24"/>
          <w:szCs w:val="24"/>
        </w:rPr>
      </w:pPr>
    </w:p>
    <w:p w:rsidR="00C7663A" w:rsidRPr="00D27014" w:rsidRDefault="008E6EFD" w:rsidP="00D2701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Institute committees. Consideration should be given regarding </w:t>
      </w:r>
      <w:r w:rsidR="002375A9">
        <w:rPr>
          <w:rFonts w:ascii="Times New Roman" w:hAnsi="Times New Roman" w:cs="Times New Roman"/>
          <w:sz w:val="24"/>
          <w:szCs w:val="24"/>
        </w:rPr>
        <w:t xml:space="preserve">relatively more time-intensive </w:t>
      </w:r>
      <w:r w:rsidR="00C7663A" w:rsidRPr="00D27014">
        <w:rPr>
          <w:rFonts w:ascii="Times New Roman" w:hAnsi="Times New Roman" w:cs="Times New Roman"/>
          <w:sz w:val="24"/>
          <w:szCs w:val="24"/>
        </w:rPr>
        <w:t xml:space="preserve">committees </w:t>
      </w:r>
      <w:r w:rsidR="003B4B9C">
        <w:rPr>
          <w:rFonts w:ascii="Times New Roman" w:hAnsi="Times New Roman" w:cs="Times New Roman"/>
          <w:sz w:val="24"/>
          <w:szCs w:val="24"/>
        </w:rPr>
        <w:t xml:space="preserve">(e.g., undergraduate and graduate committees) </w:t>
      </w:r>
      <w:r w:rsidR="002375A9">
        <w:rPr>
          <w:rFonts w:ascii="Times New Roman" w:hAnsi="Times New Roman" w:cs="Times New Roman"/>
          <w:sz w:val="24"/>
          <w:szCs w:val="24"/>
        </w:rPr>
        <w:t xml:space="preserve">vs. less time-intensive </w:t>
      </w:r>
      <w:r>
        <w:rPr>
          <w:rFonts w:ascii="Times New Roman" w:hAnsi="Times New Roman" w:cs="Times New Roman"/>
          <w:sz w:val="24"/>
          <w:szCs w:val="24"/>
        </w:rPr>
        <w:t>committees and service at different levels (</w:t>
      </w:r>
      <w:r w:rsidR="00C7663A" w:rsidRPr="00D27014">
        <w:rPr>
          <w:rFonts w:ascii="Times New Roman" w:hAnsi="Times New Roman" w:cs="Times New Roman"/>
          <w:sz w:val="24"/>
          <w:szCs w:val="24"/>
        </w:rPr>
        <w:t>departmental</w:t>
      </w:r>
      <w:r>
        <w:rPr>
          <w:rFonts w:ascii="Times New Roman" w:hAnsi="Times New Roman" w:cs="Times New Roman"/>
          <w:sz w:val="24"/>
          <w:szCs w:val="24"/>
        </w:rPr>
        <w:t>,</w:t>
      </w:r>
      <w:r w:rsidR="00C7663A" w:rsidRPr="00D27014">
        <w:rPr>
          <w:rFonts w:ascii="Times New Roman" w:hAnsi="Times New Roman" w:cs="Times New Roman"/>
          <w:sz w:val="24"/>
          <w:szCs w:val="24"/>
        </w:rPr>
        <w:t xml:space="preserve"> univer</w:t>
      </w:r>
      <w:r>
        <w:rPr>
          <w:rFonts w:ascii="Times New Roman" w:hAnsi="Times New Roman" w:cs="Times New Roman"/>
          <w:sz w:val="24"/>
          <w:szCs w:val="24"/>
        </w:rPr>
        <w:t xml:space="preserve">sity, </w:t>
      </w:r>
      <w:r w:rsidR="001C7DE1" w:rsidRPr="00D27014">
        <w:rPr>
          <w:rFonts w:ascii="Times New Roman" w:hAnsi="Times New Roman" w:cs="Times New Roman"/>
          <w:sz w:val="24"/>
          <w:szCs w:val="24"/>
        </w:rPr>
        <w:t>faculty/Director/staff</w:t>
      </w:r>
      <w:r w:rsidR="00C7663A" w:rsidRPr="00D27014">
        <w:rPr>
          <w:rFonts w:ascii="Times New Roman" w:hAnsi="Times New Roman" w:cs="Times New Roman"/>
          <w:sz w:val="24"/>
          <w:szCs w:val="24"/>
        </w:rPr>
        <w:t xml:space="preserve"> searches</w:t>
      </w:r>
      <w:r>
        <w:rPr>
          <w:rFonts w:ascii="Times New Roman" w:hAnsi="Times New Roman" w:cs="Times New Roman"/>
          <w:sz w:val="24"/>
          <w:szCs w:val="24"/>
        </w:rPr>
        <w:t>,</w:t>
      </w:r>
      <w:r w:rsidR="001C7DE1" w:rsidRPr="00D27014">
        <w:rPr>
          <w:rFonts w:ascii="Times New Roman" w:hAnsi="Times New Roman" w:cs="Times New Roman"/>
          <w:sz w:val="24"/>
          <w:szCs w:val="24"/>
        </w:rPr>
        <w:t xml:space="preserve"> and tenure committees</w:t>
      </w:r>
      <w:r>
        <w:rPr>
          <w:rFonts w:ascii="Times New Roman" w:hAnsi="Times New Roman" w:cs="Times New Roman"/>
          <w:sz w:val="24"/>
          <w:szCs w:val="24"/>
        </w:rPr>
        <w:t>)</w:t>
      </w:r>
    </w:p>
    <w:p w:rsidR="003355B5" w:rsidRPr="00D27014" w:rsidRDefault="00D8786B" w:rsidP="00D2701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participating in the process to </w:t>
      </w:r>
      <w:r w:rsidR="003355B5" w:rsidRPr="00D27014">
        <w:rPr>
          <w:rFonts w:ascii="Times New Roman" w:hAnsi="Times New Roman" w:cs="Times New Roman"/>
          <w:sz w:val="24"/>
          <w:szCs w:val="24"/>
        </w:rPr>
        <w:t>assign</w:t>
      </w:r>
      <w:r>
        <w:rPr>
          <w:rFonts w:ascii="Times New Roman" w:hAnsi="Times New Roman" w:cs="Times New Roman"/>
          <w:sz w:val="24"/>
          <w:szCs w:val="24"/>
        </w:rPr>
        <w:t xml:space="preserve"> courses</w:t>
      </w:r>
      <w:r w:rsidR="003355B5" w:rsidRPr="00D27014">
        <w:rPr>
          <w:rFonts w:ascii="Times New Roman" w:hAnsi="Times New Roman" w:cs="Times New Roman"/>
          <w:sz w:val="24"/>
          <w:szCs w:val="24"/>
        </w:rPr>
        <w:t xml:space="preserve"> to faculty</w:t>
      </w:r>
    </w:p>
    <w:p w:rsidR="00C7663A" w:rsidRPr="00D27014" w:rsidRDefault="00C7663A" w:rsidP="00D27014">
      <w:pPr>
        <w:pStyle w:val="ListParagraph"/>
        <w:numPr>
          <w:ilvl w:val="0"/>
          <w:numId w:val="2"/>
        </w:numPr>
        <w:spacing w:after="0" w:line="240" w:lineRule="auto"/>
        <w:rPr>
          <w:rFonts w:ascii="Times New Roman" w:hAnsi="Times New Roman" w:cs="Times New Roman"/>
          <w:sz w:val="24"/>
          <w:szCs w:val="24"/>
        </w:rPr>
      </w:pPr>
      <w:r w:rsidRPr="00D27014">
        <w:rPr>
          <w:rFonts w:ascii="Times New Roman" w:hAnsi="Times New Roman" w:cs="Times New Roman"/>
          <w:sz w:val="24"/>
          <w:szCs w:val="24"/>
        </w:rPr>
        <w:t>admissions (undergraduate, graduate)</w:t>
      </w:r>
    </w:p>
    <w:p w:rsidR="00C7663A" w:rsidRPr="00D27014" w:rsidRDefault="00C7663A" w:rsidP="00D27014">
      <w:pPr>
        <w:pStyle w:val="ListParagraph"/>
        <w:numPr>
          <w:ilvl w:val="0"/>
          <w:numId w:val="2"/>
        </w:numPr>
        <w:spacing w:after="0" w:line="240" w:lineRule="auto"/>
        <w:rPr>
          <w:rFonts w:ascii="Times New Roman" w:hAnsi="Times New Roman" w:cs="Times New Roman"/>
          <w:sz w:val="24"/>
          <w:szCs w:val="24"/>
        </w:rPr>
      </w:pPr>
      <w:r w:rsidRPr="00D27014">
        <w:rPr>
          <w:rFonts w:ascii="Times New Roman" w:hAnsi="Times New Roman" w:cs="Times New Roman"/>
          <w:sz w:val="24"/>
          <w:szCs w:val="24"/>
        </w:rPr>
        <w:t>managing student workers (e.g., mentors)</w:t>
      </w:r>
    </w:p>
    <w:p w:rsidR="00910BD7" w:rsidRPr="00D27014" w:rsidRDefault="00910BD7" w:rsidP="00D27014">
      <w:pPr>
        <w:pStyle w:val="ListParagraph"/>
        <w:numPr>
          <w:ilvl w:val="0"/>
          <w:numId w:val="2"/>
        </w:numPr>
        <w:spacing w:after="0" w:line="240" w:lineRule="auto"/>
        <w:rPr>
          <w:rFonts w:ascii="Times New Roman" w:hAnsi="Times New Roman" w:cs="Times New Roman"/>
          <w:sz w:val="24"/>
          <w:szCs w:val="24"/>
        </w:rPr>
      </w:pPr>
      <w:r w:rsidRPr="00D27014">
        <w:rPr>
          <w:rFonts w:ascii="Times New Roman" w:hAnsi="Times New Roman" w:cs="Times New Roman"/>
          <w:sz w:val="24"/>
          <w:szCs w:val="24"/>
        </w:rPr>
        <w:t>hosting visiting scholars or organizing guest lectures</w:t>
      </w:r>
    </w:p>
    <w:p w:rsidR="00C7663A" w:rsidRPr="00C7663A" w:rsidRDefault="00C7663A" w:rsidP="00C7663A">
      <w:pPr>
        <w:spacing w:after="0" w:line="240" w:lineRule="auto"/>
        <w:rPr>
          <w:rFonts w:ascii="Times New Roman" w:hAnsi="Times New Roman" w:cs="Times New Roman"/>
          <w:sz w:val="24"/>
          <w:szCs w:val="24"/>
        </w:rPr>
      </w:pPr>
    </w:p>
    <w:p w:rsidR="00C7663A" w:rsidRPr="00C7663A" w:rsidRDefault="00C7663A" w:rsidP="003D0F8E">
      <w:pPr>
        <w:spacing w:after="0" w:line="240" w:lineRule="auto"/>
        <w:ind w:firstLine="720"/>
        <w:rPr>
          <w:rFonts w:ascii="Times New Roman" w:hAnsi="Times New Roman" w:cs="Times New Roman"/>
          <w:sz w:val="24"/>
          <w:szCs w:val="24"/>
        </w:rPr>
      </w:pPr>
      <w:r w:rsidRPr="00C7663A">
        <w:rPr>
          <w:rFonts w:ascii="Times New Roman" w:hAnsi="Times New Roman" w:cs="Times New Roman"/>
          <w:sz w:val="24"/>
          <w:szCs w:val="24"/>
        </w:rPr>
        <w:t>Tenured, tenure-track, and full-time lecturers should all contribute</w:t>
      </w:r>
      <w:r w:rsidR="00DF2A28">
        <w:rPr>
          <w:rFonts w:ascii="Times New Roman" w:hAnsi="Times New Roman" w:cs="Times New Roman"/>
          <w:sz w:val="24"/>
          <w:szCs w:val="24"/>
        </w:rPr>
        <w:t xml:space="preserve"> </w:t>
      </w:r>
      <w:r w:rsidRPr="00C7663A">
        <w:rPr>
          <w:rFonts w:ascii="Times New Roman" w:hAnsi="Times New Roman" w:cs="Times New Roman"/>
          <w:sz w:val="24"/>
          <w:szCs w:val="24"/>
        </w:rPr>
        <w:t>to departmental service efforts. As a guide to the Director and</w:t>
      </w:r>
      <w:r w:rsidR="00DF2A28">
        <w:rPr>
          <w:rFonts w:ascii="Times New Roman" w:hAnsi="Times New Roman" w:cs="Times New Roman"/>
          <w:sz w:val="24"/>
          <w:szCs w:val="24"/>
        </w:rPr>
        <w:t xml:space="preserve"> </w:t>
      </w:r>
      <w:r w:rsidRPr="00C7663A">
        <w:rPr>
          <w:rFonts w:ascii="Times New Roman" w:hAnsi="Times New Roman" w:cs="Times New Roman"/>
          <w:sz w:val="24"/>
          <w:szCs w:val="24"/>
        </w:rPr>
        <w:t>faculty, generally speaking, service obligations should be around</w:t>
      </w:r>
      <w:r w:rsidR="00DF2A28">
        <w:rPr>
          <w:rFonts w:ascii="Times New Roman" w:hAnsi="Times New Roman" w:cs="Times New Roman"/>
          <w:sz w:val="24"/>
          <w:szCs w:val="24"/>
        </w:rPr>
        <w:t xml:space="preserve"> </w:t>
      </w:r>
      <w:r w:rsidRPr="00C7663A">
        <w:rPr>
          <w:rFonts w:ascii="Times New Roman" w:hAnsi="Times New Roman" w:cs="Times New Roman"/>
          <w:sz w:val="24"/>
          <w:szCs w:val="24"/>
        </w:rPr>
        <w:t>2 hours per week.</w:t>
      </w:r>
    </w:p>
    <w:p w:rsidR="00C7663A" w:rsidRPr="00C7663A" w:rsidRDefault="00C7663A" w:rsidP="00C7663A">
      <w:pPr>
        <w:spacing w:after="0" w:line="240" w:lineRule="auto"/>
        <w:rPr>
          <w:rFonts w:ascii="Times New Roman" w:hAnsi="Times New Roman" w:cs="Times New Roman"/>
          <w:sz w:val="24"/>
          <w:szCs w:val="24"/>
        </w:rPr>
      </w:pPr>
    </w:p>
    <w:p w:rsidR="00C7663A" w:rsidRPr="00DF2A28" w:rsidRDefault="00C7663A" w:rsidP="00C7663A">
      <w:pPr>
        <w:spacing w:after="0" w:line="240" w:lineRule="auto"/>
        <w:rPr>
          <w:rFonts w:ascii="Times New Roman" w:hAnsi="Times New Roman" w:cs="Times New Roman"/>
          <w:b/>
          <w:sz w:val="24"/>
          <w:szCs w:val="24"/>
        </w:rPr>
      </w:pPr>
      <w:r w:rsidRPr="00DF2A28">
        <w:rPr>
          <w:rFonts w:ascii="Times New Roman" w:hAnsi="Times New Roman" w:cs="Times New Roman"/>
          <w:b/>
          <w:sz w:val="24"/>
          <w:szCs w:val="24"/>
        </w:rPr>
        <w:t>Course buy-outs</w:t>
      </w:r>
    </w:p>
    <w:p w:rsidR="00C7663A" w:rsidRDefault="00C7663A" w:rsidP="00C7663A">
      <w:pPr>
        <w:spacing w:after="0" w:line="240" w:lineRule="auto"/>
        <w:rPr>
          <w:rFonts w:ascii="Times New Roman" w:hAnsi="Times New Roman" w:cs="Times New Roman"/>
          <w:sz w:val="24"/>
          <w:szCs w:val="24"/>
        </w:rPr>
      </w:pPr>
    </w:p>
    <w:p w:rsidR="008F1219" w:rsidRDefault="008F1219" w:rsidP="003D0F8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There are generally accepted ways to earn credit without engaging in teaching.</w:t>
      </w:r>
    </w:p>
    <w:p w:rsidR="00B50178" w:rsidRPr="00C12C5E" w:rsidRDefault="00973F1F" w:rsidP="00297FEA">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UWT </w:t>
      </w:r>
      <w:r w:rsidR="00C7663A" w:rsidRPr="00C12C5E">
        <w:rPr>
          <w:rFonts w:ascii="Times New Roman" w:hAnsi="Times New Roman" w:cs="Times New Roman"/>
          <w:sz w:val="24"/>
          <w:szCs w:val="24"/>
        </w:rPr>
        <w:t>Facu</w:t>
      </w:r>
      <w:r w:rsidR="00DB2D8A">
        <w:rPr>
          <w:rFonts w:ascii="Times New Roman" w:hAnsi="Times New Roman" w:cs="Times New Roman"/>
          <w:sz w:val="24"/>
          <w:szCs w:val="24"/>
        </w:rPr>
        <w:t>lty Assembly Chair (3) or Vice-Chair (1</w:t>
      </w:r>
      <w:r w:rsidR="00C7663A" w:rsidRPr="00C12C5E">
        <w:rPr>
          <w:rFonts w:ascii="Times New Roman" w:hAnsi="Times New Roman" w:cs="Times New Roman"/>
          <w:sz w:val="24"/>
          <w:szCs w:val="24"/>
        </w:rPr>
        <w:t>)</w:t>
      </w:r>
    </w:p>
    <w:p w:rsidR="00C7663A" w:rsidRPr="00C12C5E" w:rsidRDefault="00C7663A" w:rsidP="00297FEA">
      <w:pPr>
        <w:pStyle w:val="ListParagraph"/>
        <w:numPr>
          <w:ilvl w:val="0"/>
          <w:numId w:val="7"/>
        </w:numPr>
        <w:spacing w:after="0" w:line="240" w:lineRule="auto"/>
        <w:rPr>
          <w:rFonts w:ascii="Times New Roman" w:hAnsi="Times New Roman" w:cs="Times New Roman"/>
          <w:sz w:val="24"/>
          <w:szCs w:val="24"/>
        </w:rPr>
      </w:pPr>
      <w:r w:rsidRPr="00C12C5E">
        <w:rPr>
          <w:rFonts w:ascii="Times New Roman" w:hAnsi="Times New Roman" w:cs="Times New Roman"/>
          <w:sz w:val="24"/>
          <w:szCs w:val="24"/>
        </w:rPr>
        <w:lastRenderedPageBreak/>
        <w:t xml:space="preserve">Chair of any of the </w:t>
      </w:r>
      <w:r w:rsidR="00973F1F">
        <w:rPr>
          <w:rFonts w:ascii="Times New Roman" w:hAnsi="Times New Roman" w:cs="Times New Roman"/>
          <w:sz w:val="24"/>
          <w:szCs w:val="24"/>
        </w:rPr>
        <w:t xml:space="preserve">UWT </w:t>
      </w:r>
      <w:r w:rsidRPr="00C12C5E">
        <w:rPr>
          <w:rFonts w:ascii="Times New Roman" w:hAnsi="Times New Roman" w:cs="Times New Roman"/>
          <w:sz w:val="24"/>
          <w:szCs w:val="24"/>
        </w:rPr>
        <w:t>Faculty Assembly Standing Committees (T&amp;P,</w:t>
      </w:r>
      <w:r w:rsidR="00DF2A28" w:rsidRPr="00C12C5E">
        <w:rPr>
          <w:rFonts w:ascii="Times New Roman" w:hAnsi="Times New Roman" w:cs="Times New Roman"/>
          <w:sz w:val="24"/>
          <w:szCs w:val="24"/>
        </w:rPr>
        <w:t xml:space="preserve"> </w:t>
      </w:r>
      <w:r w:rsidRPr="00C12C5E">
        <w:rPr>
          <w:rFonts w:ascii="Times New Roman" w:hAnsi="Times New Roman" w:cs="Times New Roman"/>
          <w:sz w:val="24"/>
          <w:szCs w:val="24"/>
        </w:rPr>
        <w:t>Academic Policy, Faculty Affairs, Cu</w:t>
      </w:r>
      <w:r w:rsidR="00DD16A7">
        <w:rPr>
          <w:rFonts w:ascii="Times New Roman" w:hAnsi="Times New Roman" w:cs="Times New Roman"/>
          <w:sz w:val="24"/>
          <w:szCs w:val="24"/>
        </w:rPr>
        <w:t>rriculum)</w:t>
      </w:r>
      <w:r w:rsidR="00BD7E47">
        <w:rPr>
          <w:rFonts w:ascii="Times New Roman" w:hAnsi="Times New Roman" w:cs="Times New Roman"/>
          <w:sz w:val="24"/>
          <w:szCs w:val="24"/>
        </w:rPr>
        <w:t xml:space="preserve"> (1)</w:t>
      </w:r>
    </w:p>
    <w:p w:rsidR="00C7663A" w:rsidRPr="00C12C5E" w:rsidRDefault="004E3E29" w:rsidP="00297FEA">
      <w:pPr>
        <w:pStyle w:val="ListParagraph"/>
        <w:numPr>
          <w:ilvl w:val="0"/>
          <w:numId w:val="7"/>
        </w:numPr>
        <w:spacing w:after="0" w:line="240" w:lineRule="auto"/>
        <w:rPr>
          <w:rFonts w:ascii="Times New Roman" w:hAnsi="Times New Roman" w:cs="Times New Roman"/>
          <w:sz w:val="24"/>
          <w:szCs w:val="24"/>
        </w:rPr>
      </w:pPr>
      <w:r w:rsidRPr="00C12C5E">
        <w:rPr>
          <w:rFonts w:ascii="Times New Roman" w:hAnsi="Times New Roman" w:cs="Times New Roman"/>
          <w:sz w:val="24"/>
          <w:szCs w:val="24"/>
        </w:rPr>
        <w:t>P</w:t>
      </w:r>
      <w:r w:rsidR="00C7663A" w:rsidRPr="00C12C5E">
        <w:rPr>
          <w:rFonts w:ascii="Times New Roman" w:hAnsi="Times New Roman" w:cs="Times New Roman"/>
          <w:sz w:val="24"/>
          <w:szCs w:val="24"/>
        </w:rPr>
        <w:t xml:space="preserve">rofessional service (reviewing papers </w:t>
      </w:r>
      <w:r w:rsidR="009109A5" w:rsidRPr="00C12C5E">
        <w:rPr>
          <w:rFonts w:ascii="Times New Roman" w:hAnsi="Times New Roman" w:cs="Times New Roman"/>
          <w:sz w:val="24"/>
          <w:szCs w:val="24"/>
        </w:rPr>
        <w:t xml:space="preserve">for a journal, conference, or workshop </w:t>
      </w:r>
      <w:r w:rsidR="00C7663A" w:rsidRPr="00C12C5E">
        <w:rPr>
          <w:rFonts w:ascii="Times New Roman" w:hAnsi="Times New Roman" w:cs="Times New Roman"/>
          <w:sz w:val="24"/>
          <w:szCs w:val="24"/>
        </w:rPr>
        <w:t xml:space="preserve">(0), editorial board </w:t>
      </w:r>
      <w:r w:rsidR="009749D1">
        <w:rPr>
          <w:rFonts w:ascii="Times New Roman" w:hAnsi="Times New Roman" w:cs="Times New Roman"/>
          <w:sz w:val="24"/>
          <w:szCs w:val="24"/>
        </w:rPr>
        <w:t xml:space="preserve">of a journal </w:t>
      </w:r>
      <w:r w:rsidR="00C7663A" w:rsidRPr="00C12C5E">
        <w:rPr>
          <w:rFonts w:ascii="Times New Roman" w:hAnsi="Times New Roman" w:cs="Times New Roman"/>
          <w:sz w:val="24"/>
          <w:szCs w:val="24"/>
        </w:rPr>
        <w:t>(0.2),</w:t>
      </w:r>
      <w:r w:rsidR="00DF2A28" w:rsidRPr="00C12C5E">
        <w:rPr>
          <w:rFonts w:ascii="Times New Roman" w:hAnsi="Times New Roman" w:cs="Times New Roman"/>
          <w:sz w:val="24"/>
          <w:szCs w:val="24"/>
        </w:rPr>
        <w:t xml:space="preserve"> </w:t>
      </w:r>
      <w:r w:rsidR="00C7663A" w:rsidRPr="00C12C5E">
        <w:rPr>
          <w:rFonts w:ascii="Times New Roman" w:hAnsi="Times New Roman" w:cs="Times New Roman"/>
          <w:sz w:val="24"/>
          <w:szCs w:val="24"/>
        </w:rPr>
        <w:t xml:space="preserve">editor-in-chief </w:t>
      </w:r>
      <w:r w:rsidR="009749D1">
        <w:rPr>
          <w:rFonts w:ascii="Times New Roman" w:hAnsi="Times New Roman" w:cs="Times New Roman"/>
          <w:sz w:val="24"/>
          <w:szCs w:val="24"/>
        </w:rPr>
        <w:t xml:space="preserve">of a journal </w:t>
      </w:r>
      <w:r w:rsidR="00C7663A" w:rsidRPr="00C12C5E">
        <w:rPr>
          <w:rFonts w:ascii="Times New Roman" w:hAnsi="Times New Roman" w:cs="Times New Roman"/>
          <w:sz w:val="24"/>
          <w:szCs w:val="24"/>
        </w:rPr>
        <w:t xml:space="preserve">(1), </w:t>
      </w:r>
      <w:r w:rsidR="00E36BB8" w:rsidRPr="00C12C5E">
        <w:rPr>
          <w:rFonts w:ascii="Times New Roman" w:hAnsi="Times New Roman" w:cs="Times New Roman"/>
          <w:sz w:val="24"/>
          <w:szCs w:val="24"/>
        </w:rPr>
        <w:t>chairing</w:t>
      </w:r>
      <w:r w:rsidR="00C7663A" w:rsidRPr="00C12C5E">
        <w:rPr>
          <w:rFonts w:ascii="Times New Roman" w:hAnsi="Times New Roman" w:cs="Times New Roman"/>
          <w:sz w:val="24"/>
          <w:szCs w:val="24"/>
        </w:rPr>
        <w:t xml:space="preserve"> a conference (1)</w:t>
      </w:r>
      <w:r w:rsidR="00552073" w:rsidRPr="00C12C5E">
        <w:rPr>
          <w:rFonts w:ascii="Times New Roman" w:hAnsi="Times New Roman" w:cs="Times New Roman"/>
          <w:sz w:val="24"/>
          <w:szCs w:val="24"/>
        </w:rPr>
        <w:t>, other significant conference organization role (e.g., local chair) (0.5)</w:t>
      </w:r>
      <w:r w:rsidR="00C7663A" w:rsidRPr="00C12C5E">
        <w:rPr>
          <w:rFonts w:ascii="Times New Roman" w:hAnsi="Times New Roman" w:cs="Times New Roman"/>
          <w:sz w:val="24"/>
          <w:szCs w:val="24"/>
        </w:rPr>
        <w:t xml:space="preserve"> )</w:t>
      </w:r>
    </w:p>
    <w:p w:rsidR="00C7663A" w:rsidRPr="00C12C5E" w:rsidRDefault="00C7663A" w:rsidP="00297FEA">
      <w:pPr>
        <w:pStyle w:val="ListParagraph"/>
        <w:numPr>
          <w:ilvl w:val="0"/>
          <w:numId w:val="7"/>
        </w:numPr>
        <w:spacing w:after="0" w:line="240" w:lineRule="auto"/>
        <w:rPr>
          <w:rFonts w:ascii="Times New Roman" w:hAnsi="Times New Roman" w:cs="Times New Roman"/>
          <w:sz w:val="24"/>
          <w:szCs w:val="24"/>
        </w:rPr>
      </w:pPr>
      <w:r w:rsidRPr="00C12C5E">
        <w:rPr>
          <w:rFonts w:ascii="Times New Roman" w:hAnsi="Times New Roman" w:cs="Times New Roman"/>
          <w:sz w:val="24"/>
          <w:szCs w:val="24"/>
        </w:rPr>
        <w:t>Grant buy-out (variable, based on the terms of the grant</w:t>
      </w:r>
      <w:r w:rsidR="00B07DDB" w:rsidRPr="00C12C5E">
        <w:rPr>
          <w:rFonts w:ascii="Times New Roman" w:hAnsi="Times New Roman" w:cs="Times New Roman"/>
          <w:sz w:val="24"/>
          <w:szCs w:val="24"/>
        </w:rPr>
        <w:t>; the grant must have explicitly allocated funds for a teaching buy-out</w:t>
      </w:r>
      <w:r w:rsidR="00E27B38">
        <w:rPr>
          <w:rFonts w:ascii="Times New Roman" w:hAnsi="Times New Roman" w:cs="Times New Roman"/>
          <w:sz w:val="24"/>
          <w:szCs w:val="24"/>
        </w:rPr>
        <w:t xml:space="preserve"> and have appropriate approval from the Director and the VCAA</w:t>
      </w:r>
      <w:r w:rsidRPr="00C12C5E">
        <w:rPr>
          <w:rFonts w:ascii="Times New Roman" w:hAnsi="Times New Roman" w:cs="Times New Roman"/>
          <w:sz w:val="24"/>
          <w:szCs w:val="24"/>
        </w:rPr>
        <w:t>)</w:t>
      </w:r>
    </w:p>
    <w:p w:rsidR="00C7663A" w:rsidRPr="00C12C5E" w:rsidRDefault="00C7663A" w:rsidP="00297FEA">
      <w:pPr>
        <w:pStyle w:val="ListParagraph"/>
        <w:numPr>
          <w:ilvl w:val="0"/>
          <w:numId w:val="7"/>
        </w:numPr>
        <w:spacing w:after="0" w:line="240" w:lineRule="auto"/>
        <w:rPr>
          <w:rFonts w:ascii="Times New Roman" w:hAnsi="Times New Roman" w:cs="Times New Roman"/>
          <w:sz w:val="24"/>
          <w:szCs w:val="24"/>
        </w:rPr>
      </w:pPr>
      <w:r w:rsidRPr="00C12C5E">
        <w:rPr>
          <w:rFonts w:ascii="Times New Roman" w:hAnsi="Times New Roman" w:cs="Times New Roman"/>
          <w:sz w:val="24"/>
          <w:szCs w:val="24"/>
        </w:rPr>
        <w:t>Third-year research quarter (for tenure-track faculty) (2)</w:t>
      </w:r>
    </w:p>
    <w:p w:rsidR="006841E3" w:rsidRPr="00C12C5E" w:rsidRDefault="006841E3" w:rsidP="00297FEA">
      <w:pPr>
        <w:pStyle w:val="ListParagraph"/>
        <w:numPr>
          <w:ilvl w:val="0"/>
          <w:numId w:val="7"/>
        </w:numPr>
        <w:spacing w:after="0" w:line="240" w:lineRule="auto"/>
        <w:rPr>
          <w:rFonts w:ascii="Times New Roman" w:hAnsi="Times New Roman" w:cs="Times New Roman"/>
          <w:sz w:val="24"/>
          <w:szCs w:val="24"/>
        </w:rPr>
      </w:pPr>
      <w:r w:rsidRPr="00C12C5E">
        <w:rPr>
          <w:rFonts w:ascii="Times New Roman" w:hAnsi="Times New Roman" w:cs="Times New Roman"/>
          <w:sz w:val="24"/>
          <w:szCs w:val="24"/>
        </w:rPr>
        <w:t xml:space="preserve">Other administrative duties (to be determined </w:t>
      </w:r>
      <w:r w:rsidR="00EB6B25" w:rsidRPr="00C12C5E">
        <w:rPr>
          <w:rFonts w:ascii="Times New Roman" w:hAnsi="Times New Roman" w:cs="Times New Roman"/>
          <w:sz w:val="24"/>
          <w:szCs w:val="24"/>
        </w:rPr>
        <w:t xml:space="preserve">by </w:t>
      </w:r>
      <w:r w:rsidR="005D670D" w:rsidRPr="00C12C5E">
        <w:rPr>
          <w:rFonts w:ascii="Times New Roman" w:hAnsi="Times New Roman" w:cs="Times New Roman"/>
          <w:sz w:val="24"/>
          <w:szCs w:val="24"/>
        </w:rPr>
        <w:t xml:space="preserve">the </w:t>
      </w:r>
      <w:r w:rsidR="00101B34" w:rsidRPr="00C12C5E">
        <w:rPr>
          <w:rFonts w:ascii="Times New Roman" w:hAnsi="Times New Roman" w:cs="Times New Roman"/>
          <w:sz w:val="24"/>
          <w:szCs w:val="24"/>
        </w:rPr>
        <w:t xml:space="preserve">whole </w:t>
      </w:r>
      <w:r w:rsidR="00EB6B25" w:rsidRPr="00C12C5E">
        <w:rPr>
          <w:rFonts w:ascii="Times New Roman" w:hAnsi="Times New Roman" w:cs="Times New Roman"/>
          <w:sz w:val="24"/>
          <w:szCs w:val="24"/>
        </w:rPr>
        <w:t xml:space="preserve">faculty </w:t>
      </w:r>
      <w:r w:rsidRPr="00C12C5E">
        <w:rPr>
          <w:rFonts w:ascii="Times New Roman" w:hAnsi="Times New Roman" w:cs="Times New Roman"/>
          <w:sz w:val="24"/>
          <w:szCs w:val="24"/>
        </w:rPr>
        <w:t>according to the activities undertaken)</w:t>
      </w:r>
    </w:p>
    <w:p w:rsidR="00130C1A" w:rsidRDefault="00130C1A" w:rsidP="00C7663A">
      <w:pPr>
        <w:spacing w:after="0" w:line="240" w:lineRule="auto"/>
        <w:rPr>
          <w:rFonts w:ascii="Times New Roman" w:hAnsi="Times New Roman" w:cs="Times New Roman"/>
          <w:sz w:val="24"/>
          <w:szCs w:val="24"/>
        </w:rPr>
      </w:pPr>
    </w:p>
    <w:p w:rsidR="00130C1A" w:rsidRPr="00C7663A" w:rsidRDefault="00B31FD1" w:rsidP="003D0F8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Credit for a</w:t>
      </w:r>
      <w:r w:rsidR="00130C1A">
        <w:rPr>
          <w:rFonts w:ascii="Times New Roman" w:hAnsi="Times New Roman" w:cs="Times New Roman"/>
          <w:sz w:val="24"/>
          <w:szCs w:val="24"/>
        </w:rPr>
        <w:t>ctivities other than these should be petitioned by the faculty member to the full faculty.</w:t>
      </w:r>
      <w:r w:rsidR="006721A2">
        <w:rPr>
          <w:rFonts w:ascii="Times New Roman" w:hAnsi="Times New Roman" w:cs="Times New Roman"/>
          <w:sz w:val="24"/>
          <w:szCs w:val="24"/>
        </w:rPr>
        <w:t xml:space="preserve"> Generally speaking, the full faculty should be receptive to new activities that have the potential </w:t>
      </w:r>
      <w:r w:rsidR="009B4F03">
        <w:rPr>
          <w:rFonts w:ascii="Times New Roman" w:hAnsi="Times New Roman" w:cs="Times New Roman"/>
          <w:sz w:val="24"/>
          <w:szCs w:val="24"/>
        </w:rPr>
        <w:t xml:space="preserve">to contribute to the department, although how much credit is assigned </w:t>
      </w:r>
      <w:r w:rsidR="00B94DBD">
        <w:rPr>
          <w:rFonts w:ascii="Times New Roman" w:hAnsi="Times New Roman" w:cs="Times New Roman"/>
          <w:sz w:val="24"/>
          <w:szCs w:val="24"/>
        </w:rPr>
        <w:t>is</w:t>
      </w:r>
      <w:r w:rsidR="009B4F03">
        <w:rPr>
          <w:rFonts w:ascii="Times New Roman" w:hAnsi="Times New Roman" w:cs="Times New Roman"/>
          <w:sz w:val="24"/>
          <w:szCs w:val="24"/>
        </w:rPr>
        <w:t xml:space="preserve"> </w:t>
      </w:r>
      <w:r w:rsidR="0017298F">
        <w:rPr>
          <w:rFonts w:ascii="Times New Roman" w:hAnsi="Times New Roman" w:cs="Times New Roman"/>
          <w:sz w:val="24"/>
          <w:szCs w:val="24"/>
        </w:rPr>
        <w:t>expected</w:t>
      </w:r>
      <w:r w:rsidR="009B4F03">
        <w:rPr>
          <w:rFonts w:ascii="Times New Roman" w:hAnsi="Times New Roman" w:cs="Times New Roman"/>
          <w:sz w:val="24"/>
          <w:szCs w:val="24"/>
        </w:rPr>
        <w:t xml:space="preserve"> to be determined by </w:t>
      </w:r>
      <w:r w:rsidR="00B94DBD">
        <w:rPr>
          <w:rFonts w:ascii="Times New Roman" w:hAnsi="Times New Roman" w:cs="Times New Roman"/>
          <w:sz w:val="24"/>
          <w:szCs w:val="24"/>
        </w:rPr>
        <w:t xml:space="preserve">faculty </w:t>
      </w:r>
      <w:r w:rsidR="009B4F03">
        <w:rPr>
          <w:rFonts w:ascii="Times New Roman" w:hAnsi="Times New Roman" w:cs="Times New Roman"/>
          <w:sz w:val="24"/>
          <w:szCs w:val="24"/>
        </w:rPr>
        <w:t>consensus.</w:t>
      </w:r>
    </w:p>
    <w:p w:rsidR="00C7663A" w:rsidRPr="00C7663A" w:rsidRDefault="00C7663A" w:rsidP="00C7663A">
      <w:pPr>
        <w:spacing w:after="0" w:line="240" w:lineRule="auto"/>
        <w:rPr>
          <w:rFonts w:ascii="Times New Roman" w:hAnsi="Times New Roman" w:cs="Times New Roman"/>
          <w:sz w:val="24"/>
          <w:szCs w:val="24"/>
        </w:rPr>
      </w:pPr>
    </w:p>
    <w:p w:rsidR="00C7663A" w:rsidRPr="00DF2A28" w:rsidRDefault="00C7663A" w:rsidP="00C7663A">
      <w:pPr>
        <w:spacing w:after="0" w:line="240" w:lineRule="auto"/>
        <w:rPr>
          <w:rFonts w:ascii="Times New Roman" w:hAnsi="Times New Roman" w:cs="Times New Roman"/>
          <w:b/>
          <w:sz w:val="24"/>
          <w:szCs w:val="24"/>
        </w:rPr>
      </w:pPr>
      <w:r w:rsidRPr="00DF2A28">
        <w:rPr>
          <w:rFonts w:ascii="Times New Roman" w:hAnsi="Times New Roman" w:cs="Times New Roman"/>
          <w:b/>
          <w:sz w:val="24"/>
          <w:szCs w:val="24"/>
        </w:rPr>
        <w:t>Tenure-track faculty</w:t>
      </w:r>
    </w:p>
    <w:p w:rsidR="00C7663A" w:rsidRPr="00C7663A" w:rsidRDefault="00C7663A" w:rsidP="00C7663A">
      <w:pPr>
        <w:spacing w:after="0" w:line="240" w:lineRule="auto"/>
        <w:rPr>
          <w:rFonts w:ascii="Times New Roman" w:hAnsi="Times New Roman" w:cs="Times New Roman"/>
          <w:sz w:val="24"/>
          <w:szCs w:val="24"/>
        </w:rPr>
      </w:pPr>
    </w:p>
    <w:p w:rsidR="00C7663A" w:rsidRPr="00C7663A" w:rsidRDefault="00C7663A" w:rsidP="00C12C5E">
      <w:pPr>
        <w:spacing w:after="0" w:line="240" w:lineRule="auto"/>
        <w:ind w:firstLine="720"/>
        <w:rPr>
          <w:rFonts w:ascii="Times New Roman" w:hAnsi="Times New Roman" w:cs="Times New Roman"/>
          <w:sz w:val="24"/>
          <w:szCs w:val="24"/>
        </w:rPr>
      </w:pPr>
      <w:r w:rsidRPr="00C7663A">
        <w:rPr>
          <w:rFonts w:ascii="Times New Roman" w:hAnsi="Times New Roman" w:cs="Times New Roman"/>
          <w:sz w:val="24"/>
          <w:szCs w:val="24"/>
        </w:rPr>
        <w:t xml:space="preserve">There will be no formal special consideration for tenure-track </w:t>
      </w:r>
      <w:r w:rsidR="001F4580">
        <w:rPr>
          <w:rFonts w:ascii="Times New Roman" w:hAnsi="Times New Roman" w:cs="Times New Roman"/>
          <w:sz w:val="24"/>
          <w:szCs w:val="24"/>
        </w:rPr>
        <w:t xml:space="preserve">(i.e., pre-tenure) </w:t>
      </w:r>
      <w:r w:rsidRPr="00C7663A">
        <w:rPr>
          <w:rFonts w:ascii="Times New Roman" w:hAnsi="Times New Roman" w:cs="Times New Roman"/>
          <w:sz w:val="24"/>
          <w:szCs w:val="24"/>
        </w:rPr>
        <w:t>faculty</w:t>
      </w:r>
      <w:r w:rsidR="00DF2A28">
        <w:rPr>
          <w:rFonts w:ascii="Times New Roman" w:hAnsi="Times New Roman" w:cs="Times New Roman"/>
          <w:sz w:val="24"/>
          <w:szCs w:val="24"/>
        </w:rPr>
        <w:t xml:space="preserve"> </w:t>
      </w:r>
      <w:r w:rsidRPr="00C7663A">
        <w:rPr>
          <w:rFonts w:ascii="Times New Roman" w:hAnsi="Times New Roman" w:cs="Times New Roman"/>
          <w:sz w:val="24"/>
          <w:szCs w:val="24"/>
        </w:rPr>
        <w:t>for workload. However, as a general guide, the following mechanisms</w:t>
      </w:r>
      <w:r w:rsidR="00DF2A28">
        <w:rPr>
          <w:rFonts w:ascii="Times New Roman" w:hAnsi="Times New Roman" w:cs="Times New Roman"/>
          <w:sz w:val="24"/>
          <w:szCs w:val="24"/>
        </w:rPr>
        <w:t xml:space="preserve"> </w:t>
      </w:r>
      <w:r w:rsidRPr="00C7663A">
        <w:rPr>
          <w:rFonts w:ascii="Times New Roman" w:hAnsi="Times New Roman" w:cs="Times New Roman"/>
          <w:sz w:val="24"/>
          <w:szCs w:val="24"/>
        </w:rPr>
        <w:t>can be used to ease the teaching and service workload of faculty</w:t>
      </w:r>
      <w:r w:rsidR="00A26B00">
        <w:rPr>
          <w:rFonts w:ascii="Times New Roman" w:hAnsi="Times New Roman" w:cs="Times New Roman"/>
          <w:sz w:val="24"/>
          <w:szCs w:val="24"/>
        </w:rPr>
        <w:t xml:space="preserve"> in their pre-tenure stage</w:t>
      </w:r>
      <w:r w:rsidRPr="00C7663A">
        <w:rPr>
          <w:rFonts w:ascii="Times New Roman" w:hAnsi="Times New Roman" w:cs="Times New Roman"/>
          <w:sz w:val="24"/>
          <w:szCs w:val="24"/>
        </w:rPr>
        <w:t>:</w:t>
      </w:r>
    </w:p>
    <w:p w:rsidR="00C7663A" w:rsidRPr="00C7663A" w:rsidRDefault="00C7663A" w:rsidP="00C7663A">
      <w:pPr>
        <w:spacing w:after="0" w:line="240" w:lineRule="auto"/>
        <w:rPr>
          <w:rFonts w:ascii="Times New Roman" w:hAnsi="Times New Roman" w:cs="Times New Roman"/>
          <w:sz w:val="24"/>
          <w:szCs w:val="24"/>
        </w:rPr>
      </w:pPr>
      <w:r w:rsidRPr="00C7663A">
        <w:rPr>
          <w:rFonts w:ascii="Times New Roman" w:hAnsi="Times New Roman" w:cs="Times New Roman"/>
          <w:sz w:val="24"/>
          <w:szCs w:val="24"/>
        </w:rPr>
        <w:t>1. Assigning fewer new prep courses</w:t>
      </w:r>
      <w:r w:rsidR="00997877">
        <w:rPr>
          <w:rFonts w:ascii="Times New Roman" w:hAnsi="Times New Roman" w:cs="Times New Roman"/>
          <w:sz w:val="24"/>
          <w:szCs w:val="24"/>
        </w:rPr>
        <w:t>.</w:t>
      </w:r>
    </w:p>
    <w:p w:rsidR="00C7663A" w:rsidRDefault="00B95EE9" w:rsidP="00C766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C7663A" w:rsidRPr="00C7663A">
        <w:rPr>
          <w:rFonts w:ascii="Times New Roman" w:hAnsi="Times New Roman" w:cs="Times New Roman"/>
          <w:sz w:val="24"/>
          <w:szCs w:val="24"/>
        </w:rPr>
        <w:t>Light</w:t>
      </w:r>
      <w:r w:rsidR="00D01298">
        <w:rPr>
          <w:rFonts w:ascii="Times New Roman" w:hAnsi="Times New Roman" w:cs="Times New Roman"/>
          <w:sz w:val="24"/>
          <w:szCs w:val="24"/>
        </w:rPr>
        <w:t>er</w:t>
      </w:r>
      <w:r w:rsidR="00C7663A" w:rsidRPr="00C7663A">
        <w:rPr>
          <w:rFonts w:ascii="Times New Roman" w:hAnsi="Times New Roman" w:cs="Times New Roman"/>
          <w:sz w:val="24"/>
          <w:szCs w:val="24"/>
        </w:rPr>
        <w:t xml:space="preserve"> committee</w:t>
      </w:r>
      <w:r w:rsidR="00797AAA">
        <w:rPr>
          <w:rFonts w:ascii="Times New Roman" w:hAnsi="Times New Roman" w:cs="Times New Roman"/>
          <w:sz w:val="24"/>
          <w:szCs w:val="24"/>
        </w:rPr>
        <w:t>/service</w:t>
      </w:r>
      <w:r w:rsidR="00C7663A" w:rsidRPr="00C7663A">
        <w:rPr>
          <w:rFonts w:ascii="Times New Roman" w:hAnsi="Times New Roman" w:cs="Times New Roman"/>
          <w:sz w:val="24"/>
          <w:szCs w:val="24"/>
        </w:rPr>
        <w:t xml:space="preserve"> work</w:t>
      </w:r>
      <w:r w:rsidR="00997877">
        <w:rPr>
          <w:rFonts w:ascii="Times New Roman" w:hAnsi="Times New Roman" w:cs="Times New Roman"/>
          <w:sz w:val="24"/>
          <w:szCs w:val="24"/>
        </w:rPr>
        <w:t>.</w:t>
      </w:r>
    </w:p>
    <w:p w:rsidR="00997877" w:rsidRPr="00C7663A" w:rsidRDefault="00997877" w:rsidP="00C7663A">
      <w:pPr>
        <w:spacing w:after="0" w:line="240" w:lineRule="auto"/>
        <w:rPr>
          <w:rFonts w:ascii="Times New Roman" w:hAnsi="Times New Roman" w:cs="Times New Roman"/>
          <w:sz w:val="24"/>
          <w:szCs w:val="24"/>
        </w:rPr>
      </w:pPr>
      <w:r>
        <w:rPr>
          <w:rFonts w:ascii="Times New Roman" w:hAnsi="Times New Roman" w:cs="Times New Roman"/>
          <w:sz w:val="24"/>
          <w:szCs w:val="24"/>
        </w:rPr>
        <w:t>3. Assigning a lighter course load during the first year.</w:t>
      </w:r>
    </w:p>
    <w:p w:rsidR="00C7663A" w:rsidRPr="00C7663A" w:rsidRDefault="00C7663A" w:rsidP="00C7663A">
      <w:pPr>
        <w:spacing w:after="0" w:line="240" w:lineRule="auto"/>
        <w:rPr>
          <w:rFonts w:ascii="Times New Roman" w:hAnsi="Times New Roman" w:cs="Times New Roman"/>
          <w:sz w:val="24"/>
          <w:szCs w:val="24"/>
        </w:rPr>
      </w:pPr>
    </w:p>
    <w:p w:rsidR="00C7663A" w:rsidRPr="00DF2A28" w:rsidRDefault="00C7663A" w:rsidP="00C7663A">
      <w:pPr>
        <w:spacing w:after="0" w:line="240" w:lineRule="auto"/>
        <w:rPr>
          <w:rFonts w:ascii="Times New Roman" w:hAnsi="Times New Roman" w:cs="Times New Roman"/>
          <w:b/>
          <w:sz w:val="24"/>
          <w:szCs w:val="24"/>
        </w:rPr>
      </w:pPr>
      <w:r w:rsidRPr="00DF2A28">
        <w:rPr>
          <w:rFonts w:ascii="Times New Roman" w:hAnsi="Times New Roman" w:cs="Times New Roman"/>
          <w:b/>
          <w:sz w:val="24"/>
          <w:szCs w:val="24"/>
        </w:rPr>
        <w:t>Implementation</w:t>
      </w:r>
    </w:p>
    <w:p w:rsidR="000306D4" w:rsidRDefault="000306D4" w:rsidP="00C12C5E">
      <w:pPr>
        <w:spacing w:after="0" w:line="240" w:lineRule="auto"/>
        <w:ind w:firstLine="720"/>
        <w:rPr>
          <w:rFonts w:ascii="Times New Roman" w:hAnsi="Times New Roman" w:cs="Times New Roman"/>
          <w:sz w:val="24"/>
          <w:szCs w:val="24"/>
        </w:rPr>
      </w:pPr>
    </w:p>
    <w:p w:rsidR="00EC5D14" w:rsidRDefault="00C7663A" w:rsidP="00C12C5E">
      <w:pPr>
        <w:spacing w:after="0" w:line="240" w:lineRule="auto"/>
        <w:ind w:firstLine="720"/>
        <w:rPr>
          <w:rFonts w:ascii="Times New Roman" w:hAnsi="Times New Roman" w:cs="Times New Roman"/>
          <w:sz w:val="24"/>
          <w:szCs w:val="24"/>
        </w:rPr>
      </w:pPr>
      <w:r w:rsidRPr="00C7663A">
        <w:rPr>
          <w:rFonts w:ascii="Times New Roman" w:hAnsi="Times New Roman" w:cs="Times New Roman"/>
          <w:sz w:val="24"/>
          <w:szCs w:val="24"/>
        </w:rPr>
        <w:t xml:space="preserve">As a general </w:t>
      </w:r>
      <w:r w:rsidR="00C60961">
        <w:rPr>
          <w:rFonts w:ascii="Times New Roman" w:hAnsi="Times New Roman" w:cs="Times New Roman"/>
          <w:sz w:val="24"/>
          <w:szCs w:val="24"/>
        </w:rPr>
        <w:t>guide</w:t>
      </w:r>
      <w:r w:rsidRPr="00C7663A">
        <w:rPr>
          <w:rFonts w:ascii="Times New Roman" w:hAnsi="Times New Roman" w:cs="Times New Roman"/>
          <w:sz w:val="24"/>
          <w:szCs w:val="24"/>
        </w:rPr>
        <w:t>, each faculty member should have a load that is</w:t>
      </w:r>
      <w:r w:rsidR="00DF2A28">
        <w:rPr>
          <w:rFonts w:ascii="Times New Roman" w:hAnsi="Times New Roman" w:cs="Times New Roman"/>
          <w:sz w:val="24"/>
          <w:szCs w:val="24"/>
        </w:rPr>
        <w:t xml:space="preserve"> </w:t>
      </w:r>
      <w:r w:rsidRPr="00C7663A">
        <w:rPr>
          <w:rFonts w:ascii="Times New Roman" w:hAnsi="Times New Roman" w:cs="Times New Roman"/>
          <w:sz w:val="24"/>
          <w:szCs w:val="24"/>
        </w:rPr>
        <w:t>within</w:t>
      </w:r>
      <w:r w:rsidR="001F53C9">
        <w:rPr>
          <w:rFonts w:ascii="Times New Roman" w:hAnsi="Times New Roman" w:cs="Times New Roman"/>
          <w:sz w:val="24"/>
          <w:szCs w:val="24"/>
        </w:rPr>
        <w:t xml:space="preserve"> 10</w:t>
      </w:r>
      <w:r w:rsidR="007E1AB8">
        <w:rPr>
          <w:rFonts w:ascii="Times New Roman" w:hAnsi="Times New Roman" w:cs="Times New Roman"/>
          <w:sz w:val="24"/>
          <w:szCs w:val="24"/>
        </w:rPr>
        <w:t xml:space="preserve">% of the expected load (i.e., </w:t>
      </w:r>
      <w:r w:rsidRPr="00C7663A">
        <w:rPr>
          <w:rFonts w:ascii="Times New Roman" w:hAnsi="Times New Roman" w:cs="Times New Roman"/>
          <w:sz w:val="24"/>
          <w:szCs w:val="24"/>
        </w:rPr>
        <w:t>C = 6 for tenured and</w:t>
      </w:r>
      <w:r w:rsidR="00DF2A28">
        <w:rPr>
          <w:rFonts w:ascii="Times New Roman" w:hAnsi="Times New Roman" w:cs="Times New Roman"/>
          <w:sz w:val="24"/>
          <w:szCs w:val="24"/>
        </w:rPr>
        <w:t xml:space="preserve"> </w:t>
      </w:r>
      <w:r w:rsidRPr="00C7663A">
        <w:rPr>
          <w:rFonts w:ascii="Times New Roman" w:hAnsi="Times New Roman" w:cs="Times New Roman"/>
          <w:sz w:val="24"/>
          <w:szCs w:val="24"/>
        </w:rPr>
        <w:t>tenure-track, and C = 7 for lecturers). Significant deviances</w:t>
      </w:r>
      <w:r w:rsidR="00DF2A28">
        <w:rPr>
          <w:rFonts w:ascii="Times New Roman" w:hAnsi="Times New Roman" w:cs="Times New Roman"/>
          <w:sz w:val="24"/>
          <w:szCs w:val="24"/>
        </w:rPr>
        <w:t xml:space="preserve"> </w:t>
      </w:r>
      <w:r w:rsidRPr="00C7663A">
        <w:rPr>
          <w:rFonts w:ascii="Times New Roman" w:hAnsi="Times New Roman" w:cs="Times New Roman"/>
          <w:sz w:val="24"/>
          <w:szCs w:val="24"/>
        </w:rPr>
        <w:t xml:space="preserve">from this range </w:t>
      </w:r>
      <w:r w:rsidR="0051401F">
        <w:rPr>
          <w:rFonts w:ascii="Times New Roman" w:hAnsi="Times New Roman" w:cs="Times New Roman"/>
          <w:sz w:val="24"/>
          <w:szCs w:val="24"/>
        </w:rPr>
        <w:t>sh</w:t>
      </w:r>
      <w:r w:rsidR="004354A0">
        <w:rPr>
          <w:rFonts w:ascii="Times New Roman" w:hAnsi="Times New Roman" w:cs="Times New Roman"/>
          <w:sz w:val="24"/>
          <w:szCs w:val="24"/>
        </w:rPr>
        <w:t>ould be “</w:t>
      </w:r>
      <w:r w:rsidRPr="00C7663A">
        <w:rPr>
          <w:rFonts w:ascii="Times New Roman" w:hAnsi="Times New Roman" w:cs="Times New Roman"/>
          <w:sz w:val="24"/>
          <w:szCs w:val="24"/>
        </w:rPr>
        <w:t>made up</w:t>
      </w:r>
      <w:r w:rsidR="004354A0">
        <w:rPr>
          <w:rFonts w:ascii="Times New Roman" w:hAnsi="Times New Roman" w:cs="Times New Roman"/>
          <w:sz w:val="24"/>
          <w:szCs w:val="24"/>
        </w:rPr>
        <w:t>”</w:t>
      </w:r>
      <w:r w:rsidRPr="00C7663A">
        <w:rPr>
          <w:rFonts w:ascii="Times New Roman" w:hAnsi="Times New Roman" w:cs="Times New Roman"/>
          <w:sz w:val="24"/>
          <w:szCs w:val="24"/>
        </w:rPr>
        <w:t xml:space="preserve"> in the following year</w:t>
      </w:r>
      <w:r w:rsidR="006613C8">
        <w:rPr>
          <w:rFonts w:ascii="Times New Roman" w:hAnsi="Times New Roman" w:cs="Times New Roman"/>
          <w:sz w:val="24"/>
          <w:szCs w:val="24"/>
        </w:rPr>
        <w:t xml:space="preserve"> through an increase or decrease in course assignments</w:t>
      </w:r>
      <w:r w:rsidRPr="00C7663A">
        <w:rPr>
          <w:rFonts w:ascii="Times New Roman" w:hAnsi="Times New Roman" w:cs="Times New Roman"/>
          <w:sz w:val="24"/>
          <w:szCs w:val="24"/>
        </w:rPr>
        <w:t>.</w:t>
      </w:r>
      <w:r w:rsidR="00DF2A28">
        <w:rPr>
          <w:rFonts w:ascii="Times New Roman" w:hAnsi="Times New Roman" w:cs="Times New Roman"/>
          <w:sz w:val="24"/>
          <w:szCs w:val="24"/>
        </w:rPr>
        <w:t xml:space="preserve"> </w:t>
      </w:r>
      <w:r w:rsidRPr="00C7663A">
        <w:rPr>
          <w:rFonts w:ascii="Times New Roman" w:hAnsi="Times New Roman" w:cs="Times New Roman"/>
          <w:sz w:val="24"/>
          <w:szCs w:val="24"/>
        </w:rPr>
        <w:t xml:space="preserve">Two- and three-year (and longer) averages </w:t>
      </w:r>
      <w:r w:rsidR="00107D39">
        <w:rPr>
          <w:rFonts w:ascii="Times New Roman" w:hAnsi="Times New Roman" w:cs="Times New Roman"/>
          <w:sz w:val="24"/>
          <w:szCs w:val="24"/>
        </w:rPr>
        <w:t>shall</w:t>
      </w:r>
      <w:r w:rsidRPr="00C7663A">
        <w:rPr>
          <w:rFonts w:ascii="Times New Roman" w:hAnsi="Times New Roman" w:cs="Times New Roman"/>
          <w:sz w:val="24"/>
          <w:szCs w:val="24"/>
        </w:rPr>
        <w:t xml:space="preserve"> be maintained</w:t>
      </w:r>
      <w:r w:rsidR="00DF2A28">
        <w:rPr>
          <w:rFonts w:ascii="Times New Roman" w:hAnsi="Times New Roman" w:cs="Times New Roman"/>
          <w:sz w:val="24"/>
          <w:szCs w:val="24"/>
        </w:rPr>
        <w:t xml:space="preserve"> </w:t>
      </w:r>
      <w:r w:rsidR="00087FE3">
        <w:rPr>
          <w:rFonts w:ascii="Times New Roman" w:hAnsi="Times New Roman" w:cs="Times New Roman"/>
          <w:sz w:val="24"/>
          <w:szCs w:val="24"/>
        </w:rPr>
        <w:t xml:space="preserve">and published </w:t>
      </w:r>
      <w:r w:rsidRPr="00C7663A">
        <w:rPr>
          <w:rFonts w:ascii="Times New Roman" w:hAnsi="Times New Roman" w:cs="Times New Roman"/>
          <w:sz w:val="24"/>
          <w:szCs w:val="24"/>
        </w:rPr>
        <w:t>to ensure that long-term biases do not occur.</w:t>
      </w:r>
      <w:r w:rsidR="005B6324">
        <w:rPr>
          <w:rFonts w:ascii="Times New Roman" w:hAnsi="Times New Roman" w:cs="Times New Roman"/>
          <w:sz w:val="24"/>
          <w:szCs w:val="24"/>
        </w:rPr>
        <w:t xml:space="preserve"> A spreadsheet that contains a complete list of faculty activity shall be maintained</w:t>
      </w:r>
      <w:r w:rsidR="006877A8">
        <w:rPr>
          <w:rFonts w:ascii="Times New Roman" w:hAnsi="Times New Roman" w:cs="Times New Roman"/>
          <w:sz w:val="24"/>
          <w:szCs w:val="24"/>
        </w:rPr>
        <w:t xml:space="preserve"> to facilitate these calculations</w:t>
      </w:r>
      <w:r w:rsidR="005A2FD0">
        <w:rPr>
          <w:rFonts w:ascii="Times New Roman" w:hAnsi="Times New Roman" w:cs="Times New Roman"/>
          <w:sz w:val="24"/>
          <w:szCs w:val="24"/>
        </w:rPr>
        <w:t xml:space="preserve"> and be made available to all faculty</w:t>
      </w:r>
      <w:r w:rsidR="005B6324">
        <w:rPr>
          <w:rFonts w:ascii="Times New Roman" w:hAnsi="Times New Roman" w:cs="Times New Roman"/>
          <w:sz w:val="24"/>
          <w:szCs w:val="24"/>
        </w:rPr>
        <w:t>.</w:t>
      </w:r>
    </w:p>
    <w:p w:rsidR="00B67DD0" w:rsidRDefault="00CE7FE2" w:rsidP="00C12C5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Surplus and deficit credits are cumulative. </w:t>
      </w:r>
      <w:r w:rsidR="00DF2A28">
        <w:rPr>
          <w:rFonts w:ascii="Times New Roman" w:hAnsi="Times New Roman" w:cs="Times New Roman"/>
          <w:sz w:val="24"/>
          <w:szCs w:val="24"/>
        </w:rPr>
        <w:t>When a faculty member earns a full credit more than the expected load, then a</w:t>
      </w:r>
      <w:r w:rsidR="00592A2A">
        <w:rPr>
          <w:rFonts w:ascii="Times New Roman" w:hAnsi="Times New Roman" w:cs="Times New Roman"/>
          <w:sz w:val="24"/>
          <w:szCs w:val="24"/>
        </w:rPr>
        <w:t xml:space="preserve">n assignment of one fewer course in </w:t>
      </w:r>
      <w:r w:rsidR="00DF2A28">
        <w:rPr>
          <w:rFonts w:ascii="Times New Roman" w:hAnsi="Times New Roman" w:cs="Times New Roman"/>
          <w:sz w:val="24"/>
          <w:szCs w:val="24"/>
        </w:rPr>
        <w:t>the following year is justified.</w:t>
      </w:r>
      <w:r w:rsidR="00E62C9A">
        <w:rPr>
          <w:rFonts w:ascii="Times New Roman" w:hAnsi="Times New Roman" w:cs="Times New Roman"/>
          <w:sz w:val="24"/>
          <w:szCs w:val="24"/>
        </w:rPr>
        <w:t xml:space="preserve"> </w:t>
      </w:r>
      <w:r w:rsidR="00B67DD0">
        <w:rPr>
          <w:rFonts w:ascii="Times New Roman" w:hAnsi="Times New Roman" w:cs="Times New Roman"/>
          <w:sz w:val="24"/>
          <w:szCs w:val="24"/>
        </w:rPr>
        <w:t xml:space="preserve">If a faculty member has a deficit of one full credit, then </w:t>
      </w:r>
      <w:r w:rsidR="00634D8F">
        <w:rPr>
          <w:rFonts w:ascii="Times New Roman" w:hAnsi="Times New Roman" w:cs="Times New Roman"/>
          <w:sz w:val="24"/>
          <w:szCs w:val="24"/>
        </w:rPr>
        <w:t>s/he</w:t>
      </w:r>
      <w:r w:rsidR="00B67DD0">
        <w:rPr>
          <w:rFonts w:ascii="Times New Roman" w:hAnsi="Times New Roman" w:cs="Times New Roman"/>
          <w:sz w:val="24"/>
          <w:szCs w:val="24"/>
        </w:rPr>
        <w:t xml:space="preserve"> will be expected to earn surplus credits the following year. This may be achieved through the scheduling of an extra course or other credit-bearing activities.</w:t>
      </w:r>
      <w:r w:rsidR="00087D43">
        <w:rPr>
          <w:rFonts w:ascii="Times New Roman" w:hAnsi="Times New Roman" w:cs="Times New Roman"/>
          <w:sz w:val="24"/>
          <w:szCs w:val="24"/>
        </w:rPr>
        <w:t xml:space="preserve"> All credit-bearing activities should be reported in each faculty member’s annual report (including artifacts from directed studies and internships).</w:t>
      </w:r>
    </w:p>
    <w:p w:rsidR="00DF2A28" w:rsidRDefault="008C7723" w:rsidP="00C12C5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These</w:t>
      </w:r>
      <w:r w:rsidR="00E62C9A">
        <w:rPr>
          <w:rFonts w:ascii="Times New Roman" w:hAnsi="Times New Roman" w:cs="Times New Roman"/>
          <w:sz w:val="24"/>
          <w:szCs w:val="24"/>
        </w:rPr>
        <w:t xml:space="preserve"> </w:t>
      </w:r>
      <w:r>
        <w:rPr>
          <w:rFonts w:ascii="Times New Roman" w:hAnsi="Times New Roman" w:cs="Times New Roman"/>
          <w:sz w:val="24"/>
          <w:szCs w:val="24"/>
        </w:rPr>
        <w:t>guidelines</w:t>
      </w:r>
      <w:r w:rsidR="00E62C9A">
        <w:rPr>
          <w:rFonts w:ascii="Times New Roman" w:hAnsi="Times New Roman" w:cs="Times New Roman"/>
          <w:sz w:val="24"/>
          <w:szCs w:val="24"/>
        </w:rPr>
        <w:t xml:space="preserve"> will </w:t>
      </w:r>
      <w:r>
        <w:rPr>
          <w:rFonts w:ascii="Times New Roman" w:hAnsi="Times New Roman" w:cs="Times New Roman"/>
          <w:sz w:val="24"/>
          <w:szCs w:val="24"/>
        </w:rPr>
        <w:t xml:space="preserve">be implemented beginning in the 2011-12 academic year and will </w:t>
      </w:r>
      <w:r w:rsidR="00E62C9A" w:rsidRPr="001F2FA4">
        <w:rPr>
          <w:rFonts w:ascii="Times New Roman" w:hAnsi="Times New Roman" w:cs="Times New Roman"/>
          <w:b/>
          <w:sz w:val="24"/>
          <w:szCs w:val="24"/>
        </w:rPr>
        <w:t>not</w:t>
      </w:r>
      <w:r w:rsidR="00E62C9A">
        <w:rPr>
          <w:rFonts w:ascii="Times New Roman" w:hAnsi="Times New Roman" w:cs="Times New Roman"/>
          <w:sz w:val="24"/>
          <w:szCs w:val="24"/>
        </w:rPr>
        <w:t xml:space="preserve"> be </w:t>
      </w:r>
      <w:r w:rsidR="00D27014">
        <w:rPr>
          <w:rFonts w:ascii="Times New Roman" w:hAnsi="Times New Roman" w:cs="Times New Roman"/>
          <w:sz w:val="24"/>
          <w:szCs w:val="24"/>
        </w:rPr>
        <w:t>applied</w:t>
      </w:r>
      <w:r w:rsidR="00E62C9A">
        <w:rPr>
          <w:rFonts w:ascii="Times New Roman" w:hAnsi="Times New Roman" w:cs="Times New Roman"/>
          <w:sz w:val="24"/>
          <w:szCs w:val="24"/>
        </w:rPr>
        <w:t xml:space="preserve"> retroactively.</w:t>
      </w:r>
    </w:p>
    <w:p w:rsidR="000306D4" w:rsidRDefault="000306D4" w:rsidP="00C7663A">
      <w:pPr>
        <w:spacing w:after="0" w:line="240" w:lineRule="auto"/>
        <w:rPr>
          <w:rFonts w:ascii="Times New Roman" w:hAnsi="Times New Roman" w:cs="Times New Roman"/>
          <w:sz w:val="24"/>
          <w:szCs w:val="24"/>
        </w:rPr>
      </w:pPr>
    </w:p>
    <w:p w:rsidR="00E92747" w:rsidRDefault="00E92747" w:rsidP="00C7663A">
      <w:pPr>
        <w:spacing w:after="0" w:line="240" w:lineRule="auto"/>
        <w:rPr>
          <w:rFonts w:ascii="Times New Roman" w:hAnsi="Times New Roman" w:cs="Times New Roman"/>
          <w:sz w:val="24"/>
          <w:szCs w:val="24"/>
        </w:rPr>
      </w:pPr>
    </w:p>
    <w:p w:rsidR="00E92747" w:rsidRDefault="00E92747" w:rsidP="00C7663A">
      <w:pPr>
        <w:spacing w:after="0" w:line="240" w:lineRule="auto"/>
        <w:rPr>
          <w:rFonts w:ascii="Times New Roman" w:hAnsi="Times New Roman" w:cs="Times New Roman"/>
          <w:sz w:val="24"/>
          <w:szCs w:val="24"/>
        </w:rPr>
      </w:pPr>
    </w:p>
    <w:p w:rsidR="0007351C" w:rsidRPr="0007351C" w:rsidRDefault="00302B5F" w:rsidP="00C7663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Caveat</w:t>
      </w:r>
    </w:p>
    <w:p w:rsidR="00E92747" w:rsidRDefault="00E92747" w:rsidP="00C12C5E">
      <w:pPr>
        <w:spacing w:after="0" w:line="240" w:lineRule="auto"/>
        <w:ind w:firstLine="720"/>
        <w:rPr>
          <w:rFonts w:ascii="Times New Roman" w:hAnsi="Times New Roman" w:cs="Times New Roman"/>
          <w:sz w:val="24"/>
          <w:szCs w:val="24"/>
        </w:rPr>
      </w:pPr>
    </w:p>
    <w:p w:rsidR="0018778D" w:rsidRPr="00C7663A" w:rsidRDefault="0007351C" w:rsidP="00C12C5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purpose of this policy is to provide general guidelines for how much work is expected of faculty members. Despite the numerical nature of the credits and formulae, it is not the intention of the </w:t>
      </w:r>
      <w:r w:rsidR="00E92747">
        <w:rPr>
          <w:rFonts w:ascii="Times New Roman" w:hAnsi="Times New Roman" w:cs="Times New Roman"/>
          <w:sz w:val="24"/>
          <w:szCs w:val="24"/>
        </w:rPr>
        <w:t>guidelines</w:t>
      </w:r>
      <w:r>
        <w:rPr>
          <w:rFonts w:ascii="Times New Roman" w:hAnsi="Times New Roman" w:cs="Times New Roman"/>
          <w:sz w:val="24"/>
          <w:szCs w:val="24"/>
        </w:rPr>
        <w:t xml:space="preserve"> for faculty to nitpick about small differences in load across </w:t>
      </w:r>
      <w:r w:rsidR="00955245">
        <w:rPr>
          <w:rFonts w:ascii="Times New Roman" w:hAnsi="Times New Roman" w:cs="Times New Roman"/>
          <w:sz w:val="24"/>
          <w:szCs w:val="24"/>
        </w:rPr>
        <w:t>programs</w:t>
      </w:r>
      <w:r>
        <w:rPr>
          <w:rFonts w:ascii="Times New Roman" w:hAnsi="Times New Roman" w:cs="Times New Roman"/>
          <w:sz w:val="24"/>
          <w:szCs w:val="24"/>
        </w:rPr>
        <w:t xml:space="preserve"> or across faculty within </w:t>
      </w:r>
      <w:r w:rsidR="00955245">
        <w:rPr>
          <w:rFonts w:ascii="Times New Roman" w:hAnsi="Times New Roman" w:cs="Times New Roman"/>
          <w:sz w:val="24"/>
          <w:szCs w:val="24"/>
        </w:rPr>
        <w:t>programs</w:t>
      </w:r>
      <w:r w:rsidR="00D30BE5">
        <w:rPr>
          <w:rFonts w:ascii="Times New Roman" w:hAnsi="Times New Roman" w:cs="Times New Roman"/>
          <w:sz w:val="24"/>
          <w:szCs w:val="24"/>
        </w:rPr>
        <w:t xml:space="preserve"> in the short term</w:t>
      </w:r>
      <w:r w:rsidR="0013060E">
        <w:rPr>
          <w:rFonts w:ascii="Times New Roman" w:hAnsi="Times New Roman" w:cs="Times New Roman"/>
          <w:sz w:val="24"/>
          <w:szCs w:val="24"/>
        </w:rPr>
        <w:t>; s</w:t>
      </w:r>
      <w:r w:rsidR="00685BFC">
        <w:rPr>
          <w:rFonts w:ascii="Times New Roman" w:hAnsi="Times New Roman" w:cs="Times New Roman"/>
          <w:sz w:val="24"/>
          <w:szCs w:val="24"/>
        </w:rPr>
        <w:t xml:space="preserve">ome of the differences cannot be predicted in advance because the actual number </w:t>
      </w:r>
      <w:r w:rsidR="000B6586">
        <w:rPr>
          <w:rFonts w:ascii="Times New Roman" w:hAnsi="Times New Roman" w:cs="Times New Roman"/>
          <w:sz w:val="24"/>
          <w:szCs w:val="24"/>
        </w:rPr>
        <w:t xml:space="preserve">of </w:t>
      </w:r>
      <w:r w:rsidR="00685BFC">
        <w:rPr>
          <w:rFonts w:ascii="Times New Roman" w:hAnsi="Times New Roman" w:cs="Times New Roman"/>
          <w:sz w:val="24"/>
          <w:szCs w:val="24"/>
        </w:rPr>
        <w:t xml:space="preserve">credits earned depends on student enrollment. </w:t>
      </w:r>
      <w:r w:rsidR="00E10199">
        <w:rPr>
          <w:rFonts w:ascii="Times New Roman" w:hAnsi="Times New Roman" w:cs="Times New Roman"/>
          <w:sz w:val="24"/>
          <w:szCs w:val="24"/>
        </w:rPr>
        <w:t>Director</w:t>
      </w:r>
      <w:r w:rsidR="00130C1A">
        <w:rPr>
          <w:rFonts w:ascii="Times New Roman" w:hAnsi="Times New Roman" w:cs="Times New Roman"/>
          <w:sz w:val="24"/>
          <w:szCs w:val="24"/>
        </w:rPr>
        <w:t>s</w:t>
      </w:r>
      <w:r w:rsidR="00E10199">
        <w:rPr>
          <w:rFonts w:ascii="Times New Roman" w:hAnsi="Times New Roman" w:cs="Times New Roman"/>
          <w:sz w:val="24"/>
          <w:szCs w:val="24"/>
        </w:rPr>
        <w:t xml:space="preserve"> and faculty who find themselves doing this do so against the spirit of the </w:t>
      </w:r>
      <w:r w:rsidR="00E92747">
        <w:rPr>
          <w:rFonts w:ascii="Times New Roman" w:hAnsi="Times New Roman" w:cs="Times New Roman"/>
          <w:sz w:val="24"/>
          <w:szCs w:val="24"/>
        </w:rPr>
        <w:t>guidelines</w:t>
      </w:r>
      <w:r w:rsidR="00E10199">
        <w:rPr>
          <w:rFonts w:ascii="Times New Roman" w:hAnsi="Times New Roman" w:cs="Times New Roman"/>
          <w:sz w:val="24"/>
          <w:szCs w:val="24"/>
        </w:rPr>
        <w:t>.</w:t>
      </w:r>
      <w:r w:rsidR="00130C1A">
        <w:rPr>
          <w:rFonts w:ascii="Times New Roman" w:hAnsi="Times New Roman" w:cs="Times New Roman"/>
          <w:sz w:val="24"/>
          <w:szCs w:val="24"/>
        </w:rPr>
        <w:t xml:space="preserve"> Instead, the Director and the faculty as a whole </w:t>
      </w:r>
      <w:r w:rsidR="009425A9">
        <w:rPr>
          <w:rFonts w:ascii="Times New Roman" w:hAnsi="Times New Roman" w:cs="Times New Roman"/>
          <w:sz w:val="24"/>
          <w:szCs w:val="24"/>
        </w:rPr>
        <w:t>have the responsibility</w:t>
      </w:r>
      <w:r w:rsidR="00130C1A">
        <w:rPr>
          <w:rFonts w:ascii="Times New Roman" w:hAnsi="Times New Roman" w:cs="Times New Roman"/>
          <w:sz w:val="24"/>
          <w:szCs w:val="24"/>
        </w:rPr>
        <w:t xml:space="preserve"> to ensure that </w:t>
      </w:r>
      <w:r w:rsidR="00C84638">
        <w:rPr>
          <w:rFonts w:ascii="Times New Roman" w:hAnsi="Times New Roman" w:cs="Times New Roman"/>
          <w:sz w:val="24"/>
          <w:szCs w:val="24"/>
        </w:rPr>
        <w:t>over the long term, faculty are performing activities in an equitable way.</w:t>
      </w:r>
    </w:p>
    <w:sectPr w:rsidR="0018778D" w:rsidRPr="00C7663A" w:rsidSect="00EC5D1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B09" w:rsidRDefault="00790B09" w:rsidP="00B25C13">
      <w:pPr>
        <w:spacing w:after="0" w:line="240" w:lineRule="auto"/>
      </w:pPr>
      <w:r>
        <w:separator/>
      </w:r>
    </w:p>
  </w:endnote>
  <w:endnote w:type="continuationSeparator" w:id="0">
    <w:p w:rsidR="00790B09" w:rsidRDefault="00790B09" w:rsidP="00B25C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70453"/>
      <w:docPartObj>
        <w:docPartGallery w:val="Page Numbers (Bottom of Page)"/>
        <w:docPartUnique/>
      </w:docPartObj>
    </w:sdtPr>
    <w:sdtContent>
      <w:p w:rsidR="00790B09" w:rsidRDefault="001007E0">
        <w:pPr>
          <w:pStyle w:val="Footer"/>
          <w:jc w:val="right"/>
        </w:pPr>
        <w:fldSimple w:instr=" PAGE   \* MERGEFORMAT ">
          <w:r w:rsidR="00B05410">
            <w:rPr>
              <w:noProof/>
            </w:rPr>
            <w:t>1</w:t>
          </w:r>
        </w:fldSimple>
      </w:p>
    </w:sdtContent>
  </w:sdt>
  <w:p w:rsidR="00790B09" w:rsidRDefault="00790B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B09" w:rsidRDefault="00790B09" w:rsidP="00B25C13">
      <w:pPr>
        <w:spacing w:after="0" w:line="240" w:lineRule="auto"/>
      </w:pPr>
      <w:r>
        <w:separator/>
      </w:r>
    </w:p>
  </w:footnote>
  <w:footnote w:type="continuationSeparator" w:id="0">
    <w:p w:rsidR="00790B09" w:rsidRDefault="00790B09" w:rsidP="00B25C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B09" w:rsidRDefault="00790B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A2"/>
    <w:multiLevelType w:val="hybridMultilevel"/>
    <w:tmpl w:val="60C4B94C"/>
    <w:lvl w:ilvl="0" w:tplc="A2BA2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3F4082"/>
    <w:multiLevelType w:val="hybridMultilevel"/>
    <w:tmpl w:val="FC0290C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F8737B"/>
    <w:multiLevelType w:val="hybridMultilevel"/>
    <w:tmpl w:val="21F8849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D84136D"/>
    <w:multiLevelType w:val="hybridMultilevel"/>
    <w:tmpl w:val="D2966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CCA3E0E"/>
    <w:multiLevelType w:val="hybridMultilevel"/>
    <w:tmpl w:val="DE9C8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0605FF9"/>
    <w:multiLevelType w:val="hybridMultilevel"/>
    <w:tmpl w:val="28E43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A085A87"/>
    <w:multiLevelType w:val="hybridMultilevel"/>
    <w:tmpl w:val="6276E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6"/>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characterSpacingControl w:val="doNotCompress"/>
  <w:hdrShapeDefaults>
    <o:shapedefaults v:ext="edit" spidmax="2051"/>
  </w:hdrShapeDefaults>
  <w:footnotePr>
    <w:footnote w:id="-1"/>
    <w:footnote w:id="0"/>
  </w:footnotePr>
  <w:endnotePr>
    <w:endnote w:id="-1"/>
    <w:endnote w:id="0"/>
  </w:endnotePr>
  <w:compat/>
  <w:rsids>
    <w:rsidRoot w:val="00C7663A"/>
    <w:rsid w:val="00004EE9"/>
    <w:rsid w:val="0000695E"/>
    <w:rsid w:val="00020D14"/>
    <w:rsid w:val="00022CE3"/>
    <w:rsid w:val="000302DC"/>
    <w:rsid w:val="000306D4"/>
    <w:rsid w:val="0003073D"/>
    <w:rsid w:val="000610D2"/>
    <w:rsid w:val="000618C6"/>
    <w:rsid w:val="0007351C"/>
    <w:rsid w:val="00087D43"/>
    <w:rsid w:val="00087FE3"/>
    <w:rsid w:val="0009265B"/>
    <w:rsid w:val="00092FD0"/>
    <w:rsid w:val="000A713A"/>
    <w:rsid w:val="000B6586"/>
    <w:rsid w:val="000C7AD6"/>
    <w:rsid w:val="000D3139"/>
    <w:rsid w:val="000D3C4F"/>
    <w:rsid w:val="000F29E7"/>
    <w:rsid w:val="001007E0"/>
    <w:rsid w:val="00101B34"/>
    <w:rsid w:val="00104743"/>
    <w:rsid w:val="00106A1F"/>
    <w:rsid w:val="00107D39"/>
    <w:rsid w:val="0013060E"/>
    <w:rsid w:val="00130C1A"/>
    <w:rsid w:val="001353D2"/>
    <w:rsid w:val="001361F3"/>
    <w:rsid w:val="0016113A"/>
    <w:rsid w:val="001641A1"/>
    <w:rsid w:val="0017298F"/>
    <w:rsid w:val="00182514"/>
    <w:rsid w:val="00185134"/>
    <w:rsid w:val="0018778D"/>
    <w:rsid w:val="001A2F4F"/>
    <w:rsid w:val="001C7DE1"/>
    <w:rsid w:val="001E3532"/>
    <w:rsid w:val="001F2FA4"/>
    <w:rsid w:val="001F4580"/>
    <w:rsid w:val="001F53C9"/>
    <w:rsid w:val="00200FCF"/>
    <w:rsid w:val="002013F3"/>
    <w:rsid w:val="002375A9"/>
    <w:rsid w:val="00252DEA"/>
    <w:rsid w:val="002550F4"/>
    <w:rsid w:val="00277E5A"/>
    <w:rsid w:val="002920F5"/>
    <w:rsid w:val="00297FEA"/>
    <w:rsid w:val="002C437B"/>
    <w:rsid w:val="002E59B5"/>
    <w:rsid w:val="002E78CD"/>
    <w:rsid w:val="00302B5F"/>
    <w:rsid w:val="003121D1"/>
    <w:rsid w:val="00327A15"/>
    <w:rsid w:val="0033040B"/>
    <w:rsid w:val="003323F1"/>
    <w:rsid w:val="003355B5"/>
    <w:rsid w:val="00342825"/>
    <w:rsid w:val="00350BE4"/>
    <w:rsid w:val="00381565"/>
    <w:rsid w:val="0039764B"/>
    <w:rsid w:val="003B02CB"/>
    <w:rsid w:val="003B4B9C"/>
    <w:rsid w:val="003D0F8E"/>
    <w:rsid w:val="003D3F22"/>
    <w:rsid w:val="003F0C01"/>
    <w:rsid w:val="004010B7"/>
    <w:rsid w:val="00413E79"/>
    <w:rsid w:val="004354A0"/>
    <w:rsid w:val="00436259"/>
    <w:rsid w:val="00456F37"/>
    <w:rsid w:val="004618CB"/>
    <w:rsid w:val="004661F8"/>
    <w:rsid w:val="00477839"/>
    <w:rsid w:val="004858A6"/>
    <w:rsid w:val="00494DE0"/>
    <w:rsid w:val="004B1D41"/>
    <w:rsid w:val="004B4930"/>
    <w:rsid w:val="004C3150"/>
    <w:rsid w:val="004D671D"/>
    <w:rsid w:val="004E160C"/>
    <w:rsid w:val="004E1A1C"/>
    <w:rsid w:val="004E3E29"/>
    <w:rsid w:val="004E679D"/>
    <w:rsid w:val="004E690C"/>
    <w:rsid w:val="00503C6C"/>
    <w:rsid w:val="0051401F"/>
    <w:rsid w:val="00522D1F"/>
    <w:rsid w:val="00531A64"/>
    <w:rsid w:val="00547387"/>
    <w:rsid w:val="00552073"/>
    <w:rsid w:val="0056616B"/>
    <w:rsid w:val="00571CD6"/>
    <w:rsid w:val="00592A2A"/>
    <w:rsid w:val="005A2FD0"/>
    <w:rsid w:val="005B1625"/>
    <w:rsid w:val="005B16F5"/>
    <w:rsid w:val="005B6324"/>
    <w:rsid w:val="005C28E1"/>
    <w:rsid w:val="005D670D"/>
    <w:rsid w:val="005E646C"/>
    <w:rsid w:val="00616D3A"/>
    <w:rsid w:val="00634D8F"/>
    <w:rsid w:val="00645CB6"/>
    <w:rsid w:val="00655E3B"/>
    <w:rsid w:val="006613C8"/>
    <w:rsid w:val="006721A2"/>
    <w:rsid w:val="00673E62"/>
    <w:rsid w:val="00676718"/>
    <w:rsid w:val="006841E3"/>
    <w:rsid w:val="00685BFC"/>
    <w:rsid w:val="006877A8"/>
    <w:rsid w:val="0069351A"/>
    <w:rsid w:val="006B6EC4"/>
    <w:rsid w:val="006D35CD"/>
    <w:rsid w:val="00741F70"/>
    <w:rsid w:val="00751803"/>
    <w:rsid w:val="00756130"/>
    <w:rsid w:val="00765990"/>
    <w:rsid w:val="007659AE"/>
    <w:rsid w:val="007820E7"/>
    <w:rsid w:val="00790B09"/>
    <w:rsid w:val="00796810"/>
    <w:rsid w:val="00797AAA"/>
    <w:rsid w:val="007A1378"/>
    <w:rsid w:val="007A1412"/>
    <w:rsid w:val="007C272C"/>
    <w:rsid w:val="007E1AB8"/>
    <w:rsid w:val="00816908"/>
    <w:rsid w:val="008445D6"/>
    <w:rsid w:val="008829B9"/>
    <w:rsid w:val="00893825"/>
    <w:rsid w:val="00893D82"/>
    <w:rsid w:val="008A22C8"/>
    <w:rsid w:val="008A58F4"/>
    <w:rsid w:val="008B652F"/>
    <w:rsid w:val="008C7723"/>
    <w:rsid w:val="008D6098"/>
    <w:rsid w:val="008E6EFD"/>
    <w:rsid w:val="008F1219"/>
    <w:rsid w:val="009109A5"/>
    <w:rsid w:val="00910BD7"/>
    <w:rsid w:val="0091357B"/>
    <w:rsid w:val="009425A9"/>
    <w:rsid w:val="00944ECD"/>
    <w:rsid w:val="00951455"/>
    <w:rsid w:val="00955245"/>
    <w:rsid w:val="00973F1F"/>
    <w:rsid w:val="009749D1"/>
    <w:rsid w:val="009841E8"/>
    <w:rsid w:val="00997877"/>
    <w:rsid w:val="009B4F03"/>
    <w:rsid w:val="009B527B"/>
    <w:rsid w:val="009C0399"/>
    <w:rsid w:val="009D4103"/>
    <w:rsid w:val="009E0498"/>
    <w:rsid w:val="00A13583"/>
    <w:rsid w:val="00A21992"/>
    <w:rsid w:val="00A26B00"/>
    <w:rsid w:val="00A312FB"/>
    <w:rsid w:val="00A66D9E"/>
    <w:rsid w:val="00A721F4"/>
    <w:rsid w:val="00A86515"/>
    <w:rsid w:val="00AD74BB"/>
    <w:rsid w:val="00B0315A"/>
    <w:rsid w:val="00B05410"/>
    <w:rsid w:val="00B07DDB"/>
    <w:rsid w:val="00B25C13"/>
    <w:rsid w:val="00B2740F"/>
    <w:rsid w:val="00B31FD1"/>
    <w:rsid w:val="00B44602"/>
    <w:rsid w:val="00B46AD8"/>
    <w:rsid w:val="00B50178"/>
    <w:rsid w:val="00B622F6"/>
    <w:rsid w:val="00B67DD0"/>
    <w:rsid w:val="00B80C3D"/>
    <w:rsid w:val="00B83734"/>
    <w:rsid w:val="00B92935"/>
    <w:rsid w:val="00B94DBD"/>
    <w:rsid w:val="00B95EE9"/>
    <w:rsid w:val="00BB7C01"/>
    <w:rsid w:val="00BD3D39"/>
    <w:rsid w:val="00BD7E47"/>
    <w:rsid w:val="00BF7330"/>
    <w:rsid w:val="00C02BC6"/>
    <w:rsid w:val="00C062E4"/>
    <w:rsid w:val="00C12C5E"/>
    <w:rsid w:val="00C142E4"/>
    <w:rsid w:val="00C16CA8"/>
    <w:rsid w:val="00C60961"/>
    <w:rsid w:val="00C6569F"/>
    <w:rsid w:val="00C66628"/>
    <w:rsid w:val="00C66934"/>
    <w:rsid w:val="00C7663A"/>
    <w:rsid w:val="00C84638"/>
    <w:rsid w:val="00C85E8E"/>
    <w:rsid w:val="00C90B00"/>
    <w:rsid w:val="00C92495"/>
    <w:rsid w:val="00CA3575"/>
    <w:rsid w:val="00CB668A"/>
    <w:rsid w:val="00CC0235"/>
    <w:rsid w:val="00CD3414"/>
    <w:rsid w:val="00CE21EC"/>
    <w:rsid w:val="00CE7FE2"/>
    <w:rsid w:val="00D01298"/>
    <w:rsid w:val="00D14652"/>
    <w:rsid w:val="00D27014"/>
    <w:rsid w:val="00D30BE5"/>
    <w:rsid w:val="00D53969"/>
    <w:rsid w:val="00D82784"/>
    <w:rsid w:val="00D828C6"/>
    <w:rsid w:val="00D8786B"/>
    <w:rsid w:val="00DB2D8A"/>
    <w:rsid w:val="00DB3567"/>
    <w:rsid w:val="00DC3DA9"/>
    <w:rsid w:val="00DD16A7"/>
    <w:rsid w:val="00DD4902"/>
    <w:rsid w:val="00DF2A28"/>
    <w:rsid w:val="00DF6EDE"/>
    <w:rsid w:val="00E00305"/>
    <w:rsid w:val="00E03A0E"/>
    <w:rsid w:val="00E06D17"/>
    <w:rsid w:val="00E10199"/>
    <w:rsid w:val="00E124D2"/>
    <w:rsid w:val="00E22159"/>
    <w:rsid w:val="00E27B38"/>
    <w:rsid w:val="00E33E4E"/>
    <w:rsid w:val="00E34EB5"/>
    <w:rsid w:val="00E36BB8"/>
    <w:rsid w:val="00E41575"/>
    <w:rsid w:val="00E62C9A"/>
    <w:rsid w:val="00E6693E"/>
    <w:rsid w:val="00E92747"/>
    <w:rsid w:val="00E966F5"/>
    <w:rsid w:val="00EB6B25"/>
    <w:rsid w:val="00EC23C6"/>
    <w:rsid w:val="00EC5D14"/>
    <w:rsid w:val="00EC79E6"/>
    <w:rsid w:val="00ED578B"/>
    <w:rsid w:val="00ED590B"/>
    <w:rsid w:val="00ED60B7"/>
    <w:rsid w:val="00EE0D3A"/>
    <w:rsid w:val="00EE5E0B"/>
    <w:rsid w:val="00F028AD"/>
    <w:rsid w:val="00F13C73"/>
    <w:rsid w:val="00F25466"/>
    <w:rsid w:val="00F337F3"/>
    <w:rsid w:val="00F45B63"/>
    <w:rsid w:val="00F46543"/>
    <w:rsid w:val="00F554A9"/>
    <w:rsid w:val="00F80416"/>
    <w:rsid w:val="00F81B0C"/>
    <w:rsid w:val="00FA0B64"/>
    <w:rsid w:val="00FC1FF7"/>
    <w:rsid w:val="00FD2988"/>
    <w:rsid w:val="00FE31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D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C0235"/>
    <w:rPr>
      <w:i/>
      <w:iCs/>
    </w:rPr>
  </w:style>
  <w:style w:type="paragraph" w:styleId="ListParagraph">
    <w:name w:val="List Paragraph"/>
    <w:basedOn w:val="Normal"/>
    <w:uiPriority w:val="34"/>
    <w:qFormat/>
    <w:rsid w:val="00E966F5"/>
    <w:pPr>
      <w:ind w:left="720"/>
      <w:contextualSpacing/>
    </w:pPr>
  </w:style>
  <w:style w:type="paragraph" w:styleId="Header">
    <w:name w:val="header"/>
    <w:basedOn w:val="Normal"/>
    <w:link w:val="HeaderChar"/>
    <w:uiPriority w:val="99"/>
    <w:semiHidden/>
    <w:unhideWhenUsed/>
    <w:rsid w:val="00B25C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5C13"/>
  </w:style>
  <w:style w:type="paragraph" w:styleId="Footer">
    <w:name w:val="footer"/>
    <w:basedOn w:val="Normal"/>
    <w:link w:val="FooterChar"/>
    <w:uiPriority w:val="99"/>
    <w:unhideWhenUsed/>
    <w:rsid w:val="00B25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C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TotalTime>
  <Pages>6</Pages>
  <Words>2431</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Washington, Tacoma</Company>
  <LinksUpToDate>false</LinksUpToDate>
  <CharactersWithSpaces>16262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dchinn</dc:creator>
  <cp:keywords/>
  <dc:description/>
  <cp:lastModifiedBy>dchinn</cp:lastModifiedBy>
  <cp:revision>242</cp:revision>
  <cp:lastPrinted>2011-01-31T21:44:00Z</cp:lastPrinted>
  <dcterms:created xsi:type="dcterms:W3CDTF">2010-09-08T19:23:00Z</dcterms:created>
  <dcterms:modified xsi:type="dcterms:W3CDTF">2011-02-15T17:59:00Z</dcterms:modified>
</cp:coreProperties>
</file>