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47E29" w14:textId="1F39A1F6" w:rsidR="00577931" w:rsidRPr="00577931" w:rsidRDefault="00577931" w:rsidP="00577931">
      <w:pPr>
        <w:rPr>
          <w:rFonts w:ascii="Verdana" w:eastAsia="Times New Roman" w:hAnsi="Verdana" w:cs="Times New Roman"/>
          <w:sz w:val="21"/>
          <w:szCs w:val="21"/>
        </w:rPr>
      </w:pPr>
      <w:bookmarkStart w:id="0" w:name="_GoBack"/>
      <w:bookmarkEnd w:id="0"/>
      <w:r w:rsidRPr="00577931">
        <w:rPr>
          <w:rFonts w:ascii="Verdana" w:eastAsia="Times New Roman" w:hAnsi="Verdana" w:cs="Times New Roman"/>
          <w:sz w:val="21"/>
          <w:szCs w:val="21"/>
        </w:rPr>
        <w:t xml:space="preserve">On Sep 1, 2020, at 1:04 PM, </w:t>
      </w:r>
      <w:r>
        <w:rPr>
          <w:rFonts w:ascii="Verdana" w:eastAsia="Times New Roman" w:hAnsi="Verdana" w:cs="Times New Roman"/>
          <w:sz w:val="21"/>
          <w:szCs w:val="21"/>
        </w:rPr>
        <w:t xml:space="preserve">Eva </w:t>
      </w:r>
      <w:proofErr w:type="spellStart"/>
      <w:r>
        <w:rPr>
          <w:rFonts w:ascii="Verdana" w:eastAsia="Times New Roman" w:hAnsi="Verdana" w:cs="Times New Roman"/>
          <w:sz w:val="21"/>
          <w:szCs w:val="21"/>
        </w:rPr>
        <w:t>Cherniavsky</w:t>
      </w:r>
      <w:proofErr w:type="spellEnd"/>
      <w:r>
        <w:rPr>
          <w:rFonts w:ascii="Verdana" w:eastAsia="Times New Roman" w:hAnsi="Verdana" w:cs="Times New Roman"/>
          <w:sz w:val="21"/>
          <w:szCs w:val="21"/>
        </w:rPr>
        <w:t xml:space="preserve">, president of UW AAUP chapter, </w:t>
      </w:r>
      <w:r w:rsidRPr="00577931">
        <w:rPr>
          <w:rFonts w:ascii="Verdana" w:eastAsia="Times New Roman" w:hAnsi="Verdana" w:cs="Times New Roman"/>
          <w:sz w:val="21"/>
          <w:szCs w:val="21"/>
        </w:rPr>
        <w:t>&lt;ec22@uw.edu&gt; wrote</w:t>
      </w:r>
      <w:r>
        <w:rPr>
          <w:rFonts w:ascii="Verdana" w:eastAsia="Times New Roman" w:hAnsi="Verdana" w:cs="Times New Roman"/>
          <w:sz w:val="21"/>
          <w:szCs w:val="21"/>
        </w:rPr>
        <w:t xml:space="preserve"> on our faculty list server</w:t>
      </w:r>
      <w:r w:rsidRPr="00577931">
        <w:rPr>
          <w:rFonts w:ascii="Verdana" w:eastAsia="Times New Roman" w:hAnsi="Verdana" w:cs="Times New Roman"/>
          <w:sz w:val="21"/>
          <w:szCs w:val="21"/>
        </w:rPr>
        <w:t>:</w:t>
      </w:r>
    </w:p>
    <w:p w14:paraId="54A8EF97" w14:textId="77777777" w:rsidR="00577931" w:rsidRPr="00577931" w:rsidRDefault="00577931" w:rsidP="00577931">
      <w:pPr>
        <w:rPr>
          <w:rFonts w:ascii="Verdana" w:eastAsia="Times New Roman" w:hAnsi="Verdana" w:cs="Times New Roman"/>
          <w:sz w:val="21"/>
          <w:szCs w:val="21"/>
        </w:rPr>
      </w:pPr>
    </w:p>
    <w:p w14:paraId="6FFC6811" w14:textId="77777777" w:rsidR="00577931" w:rsidRPr="00577931" w:rsidRDefault="00577931" w:rsidP="00577931">
      <w:pPr>
        <w:rPr>
          <w:rFonts w:ascii="Verdana" w:eastAsia="Times New Roman" w:hAnsi="Verdana" w:cs="Times New Roman"/>
          <w:sz w:val="21"/>
          <w:szCs w:val="21"/>
        </w:rPr>
      </w:pPr>
    </w:p>
    <w:p w14:paraId="413149D0"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 xml:space="preserve">At the Faculty Senate Town Hall today, it was noted that UW-AAUP is preparing recommendations on the situation of faculty </w:t>
      </w:r>
      <w:proofErr w:type="gramStart"/>
      <w:r w:rsidRPr="00577931">
        <w:rPr>
          <w:rFonts w:ascii="Verdana" w:eastAsia="Times New Roman" w:hAnsi="Verdana" w:cs="Times New Roman"/>
          <w:sz w:val="21"/>
          <w:szCs w:val="21"/>
        </w:rPr>
        <w:t>care-givers</w:t>
      </w:r>
      <w:proofErr w:type="gramEnd"/>
      <w:r w:rsidRPr="00577931">
        <w:rPr>
          <w:rFonts w:ascii="Verdana" w:eastAsia="Times New Roman" w:hAnsi="Verdana" w:cs="Times New Roman"/>
          <w:sz w:val="21"/>
          <w:szCs w:val="21"/>
        </w:rPr>
        <w:t xml:space="preserve">, action-steps that are needed, and the principles which should inform all policy on this issue.  I write to share what we sent yesterday evening to UW leadership and to the members of the UW </w:t>
      </w:r>
      <w:proofErr w:type="spellStart"/>
      <w:r w:rsidRPr="00577931">
        <w:rPr>
          <w:rFonts w:ascii="Verdana" w:eastAsia="Times New Roman" w:hAnsi="Verdana" w:cs="Times New Roman"/>
          <w:sz w:val="21"/>
          <w:szCs w:val="21"/>
        </w:rPr>
        <w:t>Covid</w:t>
      </w:r>
      <w:proofErr w:type="spellEnd"/>
      <w:r w:rsidRPr="00577931">
        <w:rPr>
          <w:rFonts w:ascii="Verdana" w:eastAsia="Times New Roman" w:hAnsi="Verdana" w:cs="Times New Roman"/>
          <w:sz w:val="21"/>
          <w:szCs w:val="21"/>
        </w:rPr>
        <w:t xml:space="preserve"> 19 Caregiver Task Force. </w:t>
      </w:r>
    </w:p>
    <w:p w14:paraId="1AE9914C"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 xml:space="preserve">best, </w:t>
      </w:r>
      <w:proofErr w:type="spellStart"/>
      <w:r w:rsidRPr="00577931">
        <w:rPr>
          <w:rFonts w:ascii="Verdana" w:eastAsia="Times New Roman" w:hAnsi="Verdana" w:cs="Times New Roman"/>
          <w:sz w:val="21"/>
          <w:szCs w:val="21"/>
        </w:rPr>
        <w:t>ec</w:t>
      </w:r>
      <w:proofErr w:type="spellEnd"/>
    </w:p>
    <w:p w14:paraId="0D77D732"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w:t>
      </w:r>
    </w:p>
    <w:p w14:paraId="498750B0" w14:textId="77777777" w:rsidR="00577931" w:rsidRPr="00577931" w:rsidRDefault="00577931" w:rsidP="00577931">
      <w:pPr>
        <w:rPr>
          <w:rFonts w:ascii="Verdana" w:eastAsia="Times New Roman" w:hAnsi="Verdana" w:cs="Times New Roman"/>
          <w:sz w:val="21"/>
          <w:szCs w:val="21"/>
        </w:rPr>
      </w:pPr>
    </w:p>
    <w:p w14:paraId="672F3A44"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sz w:val="22"/>
          <w:szCs w:val="22"/>
        </w:rPr>
        <w:t>Dear Colleagues,</w:t>
      </w:r>
    </w:p>
    <w:p w14:paraId="19DB23BD"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sz w:val="22"/>
          <w:szCs w:val="22"/>
        </w:rPr>
        <w:t> </w:t>
      </w:r>
    </w:p>
    <w:p w14:paraId="06F6C5C2"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sz w:val="22"/>
          <w:szCs w:val="22"/>
        </w:rPr>
        <w:t>As COVID-19 is poised to dramatically affect the lives of faculty, staff, and students at UW throughout the coming year, AAUP reiterates its </w:t>
      </w:r>
      <w:hyperlink r:id="rId5" w:history="1">
        <w:r w:rsidRPr="00577931">
          <w:rPr>
            <w:rFonts w:ascii="Arial" w:eastAsia="Times New Roman" w:hAnsi="Arial" w:cs="Arial"/>
            <w:color w:val="1155CC"/>
            <w:sz w:val="22"/>
            <w:szCs w:val="22"/>
            <w:u w:val="single"/>
          </w:rPr>
          <w:t>earlier call</w:t>
        </w:r>
      </w:hyperlink>
      <w:r w:rsidRPr="00577931">
        <w:rPr>
          <w:rFonts w:ascii="Arial" w:eastAsia="Times New Roman" w:hAnsi="Arial" w:cs="Arial"/>
          <w:sz w:val="22"/>
          <w:szCs w:val="22"/>
        </w:rPr>
        <w:t> for the university to urgently address the needs of caregivers in its community. As UW faculty, staff, and students </w:t>
      </w:r>
      <w:hyperlink r:id="rId6" w:history="1">
        <w:r w:rsidRPr="00577931">
          <w:rPr>
            <w:rFonts w:ascii="Arial" w:eastAsia="Times New Roman" w:hAnsi="Arial" w:cs="Arial"/>
            <w:color w:val="1155CC"/>
            <w:sz w:val="22"/>
            <w:szCs w:val="22"/>
            <w:u w:val="single"/>
          </w:rPr>
          <w:t>attest</w:t>
        </w:r>
      </w:hyperlink>
      <w:r w:rsidRPr="00577931">
        <w:rPr>
          <w:rFonts w:ascii="Arial" w:eastAsia="Times New Roman" w:hAnsi="Arial" w:cs="Arial"/>
          <w:sz w:val="22"/>
          <w:szCs w:val="22"/>
        </w:rPr>
        <w:t>, caregiving responsibilities impact all parts of our community--from students’ learning, to our teaching excellence, to long-term research output. </w:t>
      </w:r>
      <w:hyperlink r:id="rId7" w:history="1">
        <w:r w:rsidRPr="00577931">
          <w:rPr>
            <w:rFonts w:ascii="Arial" w:eastAsia="Times New Roman" w:hAnsi="Arial" w:cs="Arial"/>
            <w:color w:val="1155CC"/>
            <w:sz w:val="22"/>
            <w:szCs w:val="22"/>
            <w:u w:val="single"/>
          </w:rPr>
          <w:t>It is estimated</w:t>
        </w:r>
      </w:hyperlink>
      <w:r w:rsidRPr="00577931">
        <w:rPr>
          <w:rFonts w:ascii="Arial" w:eastAsia="Times New Roman" w:hAnsi="Arial" w:cs="Arial"/>
          <w:sz w:val="22"/>
          <w:szCs w:val="22"/>
        </w:rPr>
        <w:t> that only 1 in 7 US parents will have kids in full-time school this year, and only 1 in 5 will have access to in-person help from relatives, nannies, or tutors. But it is not only parents of young children who are struggling. Many in our community also care for disabled or elderly family members whose routine caregiving has been interrupted by COVID-19. </w:t>
      </w:r>
    </w:p>
    <w:p w14:paraId="440D4A84" w14:textId="77777777" w:rsidR="00577931" w:rsidRPr="00577931" w:rsidRDefault="00577931" w:rsidP="00577931">
      <w:pPr>
        <w:rPr>
          <w:rFonts w:ascii="Times New Roman" w:eastAsia="Times New Roman" w:hAnsi="Times New Roman" w:cs="Times New Roman"/>
        </w:rPr>
      </w:pPr>
      <w:r w:rsidRPr="00577931">
        <w:rPr>
          <w:rFonts w:ascii="Times New Roman" w:eastAsia="Times New Roman" w:hAnsi="Times New Roman" w:cs="Times New Roman"/>
        </w:rPr>
        <w:t> </w:t>
      </w:r>
    </w:p>
    <w:p w14:paraId="4CF075C8"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b/>
          <w:bCs/>
          <w:i/>
          <w:iCs/>
          <w:sz w:val="22"/>
          <w:szCs w:val="22"/>
        </w:rPr>
        <w:t>UW can only continue to ensure excellence in teaching, research, service, and community partnerships if it provides sustainable, safe, and accessible assistance to caregiving faculty.  We recognize that similar forms of assistance to caregiving staff and students are essential, but we focus here on faculty, because the crisis for caregiving faculty has particular implications for the university’s teaching and research missions.  The assumption that UW faculty are individually responsible for navigating a systemic breakdown in childcare and elder care services is not simply unrealistic, but damaging; it results in corrosive levels of stress and exhaustion for faculty care-givers, at the very moment when all faculty are called upon to help address escalating levels of student stress and precarity. </w:t>
      </w:r>
      <w:r w:rsidRPr="00577931">
        <w:rPr>
          <w:rFonts w:ascii="Arial" w:eastAsia="Times New Roman" w:hAnsi="Arial" w:cs="Arial"/>
          <w:sz w:val="22"/>
          <w:szCs w:val="22"/>
        </w:rPr>
        <w:t> </w:t>
      </w:r>
      <w:r w:rsidRPr="00577931">
        <w:rPr>
          <w:rFonts w:ascii="Arial" w:eastAsia="Times New Roman" w:hAnsi="Arial" w:cs="Arial"/>
          <w:b/>
          <w:bCs/>
          <w:i/>
          <w:iCs/>
          <w:sz w:val="22"/>
          <w:szCs w:val="22"/>
        </w:rPr>
        <w:t>We call for the following principles and action steps in achieving this goal.</w:t>
      </w:r>
    </w:p>
    <w:p w14:paraId="3FE34C9A" w14:textId="77777777" w:rsidR="00577931" w:rsidRPr="00577931" w:rsidRDefault="00577931" w:rsidP="00577931">
      <w:pPr>
        <w:rPr>
          <w:rFonts w:ascii="Times New Roman" w:eastAsia="Times New Roman" w:hAnsi="Times New Roman" w:cs="Times New Roman"/>
        </w:rPr>
      </w:pPr>
      <w:r w:rsidRPr="00577931">
        <w:rPr>
          <w:rFonts w:ascii="Times New Roman" w:eastAsia="Times New Roman" w:hAnsi="Times New Roman" w:cs="Times New Roman"/>
        </w:rPr>
        <w:t> </w:t>
      </w:r>
    </w:p>
    <w:p w14:paraId="0DFE8CB6"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b/>
          <w:bCs/>
          <w:sz w:val="22"/>
          <w:szCs w:val="22"/>
          <w:u w:val="single"/>
        </w:rPr>
        <w:t>Principles: </w:t>
      </w:r>
    </w:p>
    <w:p w14:paraId="7968D0A5" w14:textId="77777777" w:rsidR="00577931" w:rsidRPr="00577931" w:rsidRDefault="00577931" w:rsidP="00577931">
      <w:pPr>
        <w:numPr>
          <w:ilvl w:val="0"/>
          <w:numId w:val="1"/>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Equity is essential: </w:t>
      </w:r>
      <w:r w:rsidRPr="00577931">
        <w:rPr>
          <w:rFonts w:ascii="Arial" w:eastAsia="Times New Roman" w:hAnsi="Arial" w:cs="Arial"/>
          <w:sz w:val="22"/>
          <w:szCs w:val="22"/>
        </w:rPr>
        <w:t>The caregiving crisis will exacerbate numerous, intersecting inequalities in academia; thus any solutions must center equity and seek to limit the additional harms COVID-19 may cause across axes of race, gender, sexuality, age, ability, class, professional rank, to name only a few. </w:t>
      </w:r>
    </w:p>
    <w:p w14:paraId="4519426D" w14:textId="77777777" w:rsidR="00577931" w:rsidRPr="00577931" w:rsidRDefault="00577931" w:rsidP="00577931">
      <w:pPr>
        <w:numPr>
          <w:ilvl w:val="0"/>
          <w:numId w:val="1"/>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Creativity is our strength: </w:t>
      </w:r>
      <w:r w:rsidRPr="00577931">
        <w:rPr>
          <w:rFonts w:ascii="Arial" w:eastAsia="Times New Roman" w:hAnsi="Arial" w:cs="Arial"/>
          <w:sz w:val="22"/>
          <w:szCs w:val="22"/>
        </w:rPr>
        <w:t>UW should draw on the expertise, creativity, and innovation that it is known for to create solutions to this crisis, in partnership with students, faculty, and staff. </w:t>
      </w:r>
    </w:p>
    <w:p w14:paraId="75162C6E" w14:textId="77777777" w:rsidR="00577931" w:rsidRPr="00577931" w:rsidRDefault="00577931" w:rsidP="00577931">
      <w:pPr>
        <w:numPr>
          <w:ilvl w:val="0"/>
          <w:numId w:val="1"/>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Policies alone are not enough: </w:t>
      </w:r>
      <w:r w:rsidRPr="00577931">
        <w:rPr>
          <w:rFonts w:ascii="Arial" w:eastAsia="Times New Roman" w:hAnsi="Arial" w:cs="Arial"/>
          <w:sz w:val="22"/>
          <w:szCs w:val="22"/>
        </w:rPr>
        <w:t>Faculty, staff, and students are facing a material crisis; </w:t>
      </w:r>
      <w:hyperlink r:id="rId8" w:history="1">
        <w:r w:rsidRPr="00577931">
          <w:rPr>
            <w:rFonts w:ascii="Arial" w:eastAsia="Times New Roman" w:hAnsi="Arial" w:cs="Arial"/>
            <w:color w:val="1155CC"/>
            <w:sz w:val="22"/>
            <w:szCs w:val="22"/>
            <w:u w:val="single"/>
          </w:rPr>
          <w:t>policies to pause timelines, postpone reviews, or bar discrimination will only exacerbate inequities</w:t>
        </w:r>
        <w:r w:rsidRPr="00577931">
          <w:rPr>
            <w:rFonts w:ascii="Arial" w:eastAsia="Times New Roman" w:hAnsi="Arial" w:cs="Arial"/>
            <w:color w:val="1155CC"/>
            <w:sz w:val="22"/>
            <w:szCs w:val="22"/>
          </w:rPr>
          <w:t> </w:t>
        </w:r>
      </w:hyperlink>
      <w:r w:rsidRPr="00577931">
        <w:rPr>
          <w:rFonts w:ascii="Arial" w:eastAsia="Times New Roman" w:hAnsi="Arial" w:cs="Arial"/>
          <w:sz w:val="22"/>
          <w:szCs w:val="22"/>
        </w:rPr>
        <w:t>without meaningful resource support to help them continue to do their jobs. </w:t>
      </w:r>
    </w:p>
    <w:p w14:paraId="6EB37A2F" w14:textId="77777777" w:rsidR="00577931" w:rsidRPr="00577931" w:rsidRDefault="00577931" w:rsidP="00577931">
      <w:pPr>
        <w:numPr>
          <w:ilvl w:val="0"/>
          <w:numId w:val="1"/>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Lead from the top: </w:t>
      </w:r>
      <w:r w:rsidRPr="00577931">
        <w:rPr>
          <w:rFonts w:ascii="Arial" w:eastAsia="Times New Roman" w:hAnsi="Arial" w:cs="Arial"/>
          <w:sz w:val="22"/>
          <w:szCs w:val="22"/>
        </w:rPr>
        <w:t xml:space="preserve">Financial support must be provided through policies at a university-wide level, not decentralized to units where support may be subject to </w:t>
      </w:r>
      <w:r w:rsidRPr="00577931">
        <w:rPr>
          <w:rFonts w:ascii="Arial" w:eastAsia="Times New Roman" w:hAnsi="Arial" w:cs="Arial"/>
          <w:sz w:val="22"/>
          <w:szCs w:val="22"/>
        </w:rPr>
        <w:lastRenderedPageBreak/>
        <w:t>budgetary shortfalls, personal appeals, or the goodwill of colleagues - all of which </w:t>
      </w:r>
      <w:hyperlink r:id="rId9" w:history="1">
        <w:r w:rsidRPr="00577931">
          <w:rPr>
            <w:rFonts w:ascii="Arial" w:eastAsia="Times New Roman" w:hAnsi="Arial" w:cs="Arial"/>
            <w:color w:val="1155CC"/>
            <w:sz w:val="22"/>
            <w:szCs w:val="22"/>
            <w:u w:val="single"/>
          </w:rPr>
          <w:t>contributes to inequity</w:t>
        </w:r>
      </w:hyperlink>
      <w:r w:rsidRPr="00577931">
        <w:rPr>
          <w:rFonts w:ascii="Arial" w:eastAsia="Times New Roman" w:hAnsi="Arial" w:cs="Arial"/>
          <w:sz w:val="22"/>
          <w:szCs w:val="22"/>
        </w:rPr>
        <w:t>. </w:t>
      </w:r>
    </w:p>
    <w:p w14:paraId="76635196" w14:textId="77777777" w:rsidR="00577931" w:rsidRPr="00577931" w:rsidRDefault="00577931" w:rsidP="00577931">
      <w:pPr>
        <w:numPr>
          <w:ilvl w:val="0"/>
          <w:numId w:val="1"/>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Flexibility is key: </w:t>
      </w:r>
      <w:r w:rsidRPr="00577931">
        <w:rPr>
          <w:rFonts w:ascii="Arial" w:eastAsia="Times New Roman" w:hAnsi="Arial" w:cs="Arial"/>
          <w:sz w:val="22"/>
          <w:szCs w:val="22"/>
        </w:rPr>
        <w:t xml:space="preserve">We cannot rely on one-size-fits-all </w:t>
      </w:r>
      <w:proofErr w:type="gramStart"/>
      <w:r w:rsidRPr="00577931">
        <w:rPr>
          <w:rFonts w:ascii="Arial" w:eastAsia="Times New Roman" w:hAnsi="Arial" w:cs="Arial"/>
          <w:sz w:val="22"/>
          <w:szCs w:val="22"/>
        </w:rPr>
        <w:t>solutions, and</w:t>
      </w:r>
      <w:proofErr w:type="gramEnd"/>
      <w:r w:rsidRPr="00577931">
        <w:rPr>
          <w:rFonts w:ascii="Arial" w:eastAsia="Times New Roman" w:hAnsi="Arial" w:cs="Arial"/>
          <w:sz w:val="22"/>
          <w:szCs w:val="22"/>
        </w:rPr>
        <w:t xml:space="preserve"> must recognize the wide variety of caregiving needs of our faculty. Inclusive solutions must be flexible to fit diverse needs. </w:t>
      </w:r>
    </w:p>
    <w:p w14:paraId="5B3DD2B7" w14:textId="77777777" w:rsidR="00577931" w:rsidRPr="00577931" w:rsidRDefault="00577931" w:rsidP="00577931">
      <w:pPr>
        <w:rPr>
          <w:rFonts w:ascii="Times New Roman" w:eastAsia="Times New Roman" w:hAnsi="Times New Roman" w:cs="Times New Roman"/>
        </w:rPr>
      </w:pPr>
      <w:r w:rsidRPr="00577931">
        <w:rPr>
          <w:rFonts w:ascii="Times New Roman" w:eastAsia="Times New Roman" w:hAnsi="Times New Roman" w:cs="Times New Roman"/>
        </w:rPr>
        <w:t> </w:t>
      </w:r>
    </w:p>
    <w:p w14:paraId="6DC98D9F" w14:textId="77777777" w:rsidR="00577931" w:rsidRPr="00577931" w:rsidRDefault="00577931" w:rsidP="00577931">
      <w:pPr>
        <w:rPr>
          <w:rFonts w:ascii="Times New Roman" w:eastAsia="Times New Roman" w:hAnsi="Times New Roman" w:cs="Times New Roman"/>
        </w:rPr>
      </w:pPr>
      <w:r w:rsidRPr="00577931">
        <w:rPr>
          <w:rFonts w:ascii="Arial" w:eastAsia="Times New Roman" w:hAnsi="Arial" w:cs="Arial"/>
          <w:b/>
          <w:bCs/>
          <w:sz w:val="22"/>
          <w:szCs w:val="22"/>
          <w:u w:val="single"/>
        </w:rPr>
        <w:t>Action steps: </w:t>
      </w:r>
    </w:p>
    <w:p w14:paraId="684AF01D"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 xml:space="preserve">Create a fund to support faculty </w:t>
      </w:r>
      <w:proofErr w:type="gramStart"/>
      <w:r w:rsidRPr="00577931">
        <w:rPr>
          <w:rFonts w:ascii="Arial" w:eastAsia="Times New Roman" w:hAnsi="Arial" w:cs="Arial"/>
          <w:b/>
          <w:bCs/>
          <w:sz w:val="22"/>
          <w:szCs w:val="22"/>
        </w:rPr>
        <w:t>care-givers</w:t>
      </w:r>
      <w:proofErr w:type="gramEnd"/>
      <w:r w:rsidRPr="00577931">
        <w:rPr>
          <w:rFonts w:ascii="Arial" w:eastAsia="Times New Roman" w:hAnsi="Arial" w:cs="Arial"/>
          <w:b/>
          <w:bCs/>
          <w:sz w:val="22"/>
          <w:szCs w:val="22"/>
        </w:rPr>
        <w:t>. </w:t>
      </w:r>
      <w:r w:rsidRPr="00577931">
        <w:rPr>
          <w:rFonts w:ascii="Arial" w:eastAsia="Times New Roman" w:hAnsi="Arial" w:cs="Arial"/>
          <w:sz w:val="22"/>
          <w:szCs w:val="22"/>
        </w:rPr>
        <w:t xml:space="preserve">This fund would </w:t>
      </w:r>
      <w:proofErr w:type="gramStart"/>
      <w:r w:rsidRPr="00577931">
        <w:rPr>
          <w:rFonts w:ascii="Arial" w:eastAsia="Times New Roman" w:hAnsi="Arial" w:cs="Arial"/>
          <w:sz w:val="22"/>
          <w:szCs w:val="22"/>
        </w:rPr>
        <w:t>provide  supplemental</w:t>
      </w:r>
      <w:proofErr w:type="gramEnd"/>
      <w:r w:rsidRPr="00577931">
        <w:rPr>
          <w:rFonts w:ascii="Arial" w:eastAsia="Times New Roman" w:hAnsi="Arial" w:cs="Arial"/>
          <w:sz w:val="22"/>
          <w:szCs w:val="22"/>
        </w:rPr>
        <w:t xml:space="preserve"> monthly stipends to faculty whose income is not sufficient to meet urgent caregiving needs during this crisis.  Flexible care stipends will allow caregivers to choose care supports appropriate to their needs, and similar UW programs (such as in the </w:t>
      </w:r>
      <w:hyperlink r:id="rId10" w:history="1">
        <w:r w:rsidRPr="00577931">
          <w:rPr>
            <w:rFonts w:ascii="Arial" w:eastAsia="Times New Roman" w:hAnsi="Arial" w:cs="Arial"/>
            <w:color w:val="1155CC"/>
            <w:sz w:val="22"/>
            <w:szCs w:val="22"/>
            <w:u w:val="single"/>
          </w:rPr>
          <w:t>UW Bothell Childcare Assistance Program</w:t>
        </w:r>
      </w:hyperlink>
      <w:r w:rsidRPr="00577931">
        <w:rPr>
          <w:rFonts w:ascii="Arial" w:eastAsia="Times New Roman" w:hAnsi="Arial" w:cs="Arial"/>
          <w:sz w:val="22"/>
          <w:szCs w:val="22"/>
        </w:rPr>
        <w:t>) have shown the effectiveness of this model.  </w:t>
      </w:r>
    </w:p>
    <w:p w14:paraId="1DEA8358"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Expand innovative care options: </w:t>
      </w:r>
      <w:r w:rsidRPr="00577931">
        <w:rPr>
          <w:rFonts w:ascii="Arial" w:eastAsia="Times New Roman" w:hAnsi="Arial" w:cs="Arial"/>
          <w:sz w:val="22"/>
          <w:szCs w:val="22"/>
        </w:rPr>
        <w:t>Create a platform to facilitate connections between student workers struggling to find employment and faculty caregivers seeking in-home child and elder-care and (or) qualified tutors. </w:t>
      </w:r>
    </w:p>
    <w:p w14:paraId="48BD95A5"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 xml:space="preserve">Ensure faculty can access </w:t>
      </w:r>
      <w:proofErr w:type="gramStart"/>
      <w:r w:rsidRPr="00577931">
        <w:rPr>
          <w:rFonts w:ascii="Arial" w:eastAsia="Times New Roman" w:hAnsi="Arial" w:cs="Arial"/>
          <w:b/>
          <w:bCs/>
          <w:sz w:val="22"/>
          <w:szCs w:val="22"/>
        </w:rPr>
        <w:t>fully-paid</w:t>
      </w:r>
      <w:proofErr w:type="gramEnd"/>
      <w:r w:rsidRPr="00577931">
        <w:rPr>
          <w:rFonts w:ascii="Arial" w:eastAsia="Times New Roman" w:hAnsi="Arial" w:cs="Arial"/>
          <w:b/>
          <w:bCs/>
          <w:sz w:val="22"/>
          <w:szCs w:val="22"/>
        </w:rPr>
        <w:t xml:space="preserve"> leave. </w:t>
      </w:r>
      <w:hyperlink r:id="rId11" w:history="1">
        <w:r w:rsidRPr="00577931">
          <w:rPr>
            <w:rFonts w:ascii="Arial" w:eastAsia="Times New Roman" w:hAnsi="Arial" w:cs="Arial"/>
            <w:color w:val="1155CC"/>
            <w:sz w:val="22"/>
            <w:szCs w:val="22"/>
            <w:u w:val="single"/>
          </w:rPr>
          <w:t>Expanded Family and Medical Leave</w:t>
        </w:r>
      </w:hyperlink>
      <w:r w:rsidRPr="00577931">
        <w:rPr>
          <w:rFonts w:ascii="Arial" w:eastAsia="Times New Roman" w:hAnsi="Arial" w:cs="Arial"/>
          <w:sz w:val="22"/>
          <w:szCs w:val="22"/>
        </w:rPr>
        <w:t> is only available at 2/3 pay for caregiving faculty members. Given already low salaries, especially for junior and contingent faculty, this is not an affordable option. EFMLA should be supplemented to ensure faculty do not take a pay cut during this economic crisis. Consider adopting strategies similar to those taken at many large Seattle-area</w:t>
      </w:r>
      <w:hyperlink r:id="rId12" w:history="1">
        <w:r w:rsidRPr="00577931">
          <w:rPr>
            <w:rFonts w:ascii="Arial" w:eastAsia="Times New Roman" w:hAnsi="Arial" w:cs="Arial"/>
            <w:sz w:val="22"/>
            <w:szCs w:val="22"/>
          </w:rPr>
          <w:t> </w:t>
        </w:r>
        <w:r w:rsidRPr="00577931">
          <w:rPr>
            <w:rFonts w:ascii="Arial" w:eastAsia="Times New Roman" w:hAnsi="Arial" w:cs="Arial"/>
            <w:color w:val="1155CC"/>
            <w:sz w:val="22"/>
            <w:szCs w:val="22"/>
            <w:u w:val="single"/>
          </w:rPr>
          <w:t>employers</w:t>
        </w:r>
      </w:hyperlink>
      <w:r w:rsidRPr="00577931">
        <w:rPr>
          <w:rFonts w:ascii="Arial" w:eastAsia="Times New Roman" w:hAnsi="Arial" w:cs="Arial"/>
          <w:sz w:val="22"/>
          <w:szCs w:val="22"/>
        </w:rPr>
        <w:t> and allow faculty with caregiving needs to take flexible, fully-paid caregiving leave that reduces their workloads during the duration of the pandemic.</w:t>
      </w:r>
    </w:p>
    <w:p w14:paraId="2C22AA24"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Ensure faculty can take leave when they need it. </w:t>
      </w:r>
      <w:r w:rsidRPr="00577931">
        <w:rPr>
          <w:rFonts w:ascii="Arial" w:eastAsia="Times New Roman" w:hAnsi="Arial" w:cs="Arial"/>
          <w:sz w:val="22"/>
          <w:szCs w:val="22"/>
        </w:rPr>
        <w:t xml:space="preserve">Sick leave or FMLA is inaccessible to teaching faculty if they do not have others in their department who can cover their teaching responsibilities. Departments who normally cover these requests with voluntary substitutions from other faculty are likely to be inundated with leave requests this year. Mandate that departments / units create teaching support </w:t>
      </w:r>
      <w:proofErr w:type="gramStart"/>
      <w:r w:rsidRPr="00577931">
        <w:rPr>
          <w:rFonts w:ascii="Arial" w:eastAsia="Times New Roman" w:hAnsi="Arial" w:cs="Arial"/>
          <w:sz w:val="22"/>
          <w:szCs w:val="22"/>
        </w:rPr>
        <w:t>plans, and</w:t>
      </w:r>
      <w:proofErr w:type="gramEnd"/>
      <w:r w:rsidRPr="00577931">
        <w:rPr>
          <w:rFonts w:ascii="Arial" w:eastAsia="Times New Roman" w:hAnsi="Arial" w:cs="Arial"/>
          <w:sz w:val="22"/>
          <w:szCs w:val="22"/>
        </w:rPr>
        <w:t> </w:t>
      </w:r>
      <w:r w:rsidRPr="00577931">
        <w:rPr>
          <w:rFonts w:ascii="Arial" w:eastAsia="Times New Roman" w:hAnsi="Arial" w:cs="Arial"/>
          <w:i/>
          <w:iCs/>
          <w:sz w:val="22"/>
          <w:szCs w:val="22"/>
        </w:rPr>
        <w:t>provide resources for departments to sufficiently staff these plans</w:t>
      </w:r>
      <w:r w:rsidRPr="00577931">
        <w:rPr>
          <w:rFonts w:ascii="Arial" w:eastAsia="Times New Roman" w:hAnsi="Arial" w:cs="Arial"/>
          <w:sz w:val="22"/>
          <w:szCs w:val="22"/>
        </w:rPr>
        <w:t> without relying solely on uncompensated or voluntary labor. Equally important, non-tenure-line faculty on term appointments must have assurance that use of FMLA will not imperil reappointment.  </w:t>
      </w:r>
    </w:p>
    <w:p w14:paraId="48E600B1"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Allow faculty to choose their teaching modality: </w:t>
      </w:r>
      <w:r w:rsidRPr="00577931">
        <w:rPr>
          <w:rFonts w:ascii="Arial" w:eastAsia="Times New Roman" w:hAnsi="Arial" w:cs="Arial"/>
          <w:sz w:val="22"/>
          <w:szCs w:val="22"/>
        </w:rPr>
        <w:t> All faculty should be given choices about whether they teach any in-person or hybrid courses, or whether they teach online asynchronously or synchronously; such a policy is essential for caregiving faculty, in particular, in order to accommodate both teaching and caregiving responsibilities. </w:t>
      </w:r>
    </w:p>
    <w:p w14:paraId="3AB5696E"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Suspend “on track” standards for scholarly productivity</w:t>
      </w:r>
      <w:r w:rsidRPr="00577931">
        <w:rPr>
          <w:rFonts w:ascii="Arial" w:eastAsia="Times New Roman" w:hAnsi="Arial" w:cs="Arial"/>
          <w:sz w:val="22"/>
          <w:szCs w:val="22"/>
        </w:rPr>
        <w:t> Assessment of all faculty must be adjusted to the pandemic conditions, but again, such a policy is essential for caregiving faculty. Teaching should be evaluated with careful attention to how caregiving responsibilities may invite additional biases, and with maximum flexibility, including the option to substitute peer reviews for student evaluations.  </w:t>
      </w:r>
      <w:r w:rsidRPr="00577931">
        <w:rPr>
          <w:rFonts w:ascii="Arial" w:eastAsia="Times New Roman" w:hAnsi="Arial" w:cs="Arial"/>
          <w:b/>
          <w:bCs/>
          <w:sz w:val="22"/>
          <w:szCs w:val="22"/>
        </w:rPr>
        <w:t>Create funds (or direct existing funds) to provide additional research support for faculty researchers with care-giving obligations.</w:t>
      </w:r>
      <w:r w:rsidRPr="00577931">
        <w:rPr>
          <w:rFonts w:ascii="Arial" w:eastAsia="Times New Roman" w:hAnsi="Arial" w:cs="Arial"/>
          <w:sz w:val="22"/>
          <w:szCs w:val="22"/>
        </w:rPr>
        <w:t> These research stipends could be used to hire undergraduate or graduate student research assistants, thereby (in one stroke) helping faculty keep research agendas on track and providing additional funding and a valuable professional opportunity for un- or under-employed students.  Prioritize allocation of bridge funding to caregiving faculty who may have lost opportunities to compete for grants this year.</w:t>
      </w:r>
    </w:p>
    <w:p w14:paraId="5C9A86B6"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lastRenderedPageBreak/>
        <w:t>Reduce service: </w:t>
      </w:r>
      <w:r w:rsidRPr="00577931">
        <w:rPr>
          <w:rFonts w:ascii="Arial" w:eastAsia="Times New Roman" w:hAnsi="Arial" w:cs="Arial"/>
          <w:sz w:val="22"/>
          <w:szCs w:val="22"/>
        </w:rPr>
        <w:t>Substantially pare back unremunerated service responsibilities for caregiving faculty, as requested. Encourage departments to use creative strategies to reduce service overall, such as reducing the size of committees, implementing shorter meeting times, and sharing representation across units. </w:t>
      </w:r>
    </w:p>
    <w:p w14:paraId="2F2EE795"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Non-discrimination and norm-setting: </w:t>
      </w:r>
      <w:r w:rsidRPr="00577931">
        <w:rPr>
          <w:rFonts w:ascii="Arial" w:eastAsia="Times New Roman" w:hAnsi="Arial" w:cs="Arial"/>
          <w:sz w:val="22"/>
          <w:szCs w:val="22"/>
        </w:rPr>
        <w:t>Leadership and meaningful policy must be implemented from the top to reduce discrimination and micro-aggressions against caregiving faculty. </w:t>
      </w:r>
    </w:p>
    <w:p w14:paraId="35771573" w14:textId="77777777" w:rsidR="00577931" w:rsidRPr="00577931" w:rsidRDefault="00577931" w:rsidP="00577931">
      <w:pPr>
        <w:numPr>
          <w:ilvl w:val="0"/>
          <w:numId w:val="2"/>
        </w:numPr>
        <w:ind w:left="1440"/>
        <w:textAlignment w:val="baseline"/>
        <w:rPr>
          <w:rFonts w:ascii="Times New Roman" w:eastAsia="Times New Roman" w:hAnsi="Times New Roman" w:cs="Times New Roman"/>
        </w:rPr>
      </w:pPr>
      <w:r w:rsidRPr="00577931">
        <w:rPr>
          <w:rFonts w:ascii="Arial" w:eastAsia="Times New Roman" w:hAnsi="Arial" w:cs="Arial"/>
          <w:b/>
          <w:bCs/>
          <w:sz w:val="22"/>
          <w:szCs w:val="22"/>
        </w:rPr>
        <w:t>Measure impact: </w:t>
      </w:r>
      <w:r w:rsidRPr="00577931">
        <w:rPr>
          <w:rFonts w:ascii="Arial" w:eastAsia="Times New Roman" w:hAnsi="Arial" w:cs="Arial"/>
          <w:sz w:val="22"/>
          <w:szCs w:val="22"/>
        </w:rPr>
        <w:t xml:space="preserve">It is difficult to predict the long-term impacts this crisis may have for faculty. To ensure equity, address inequities, and better support faculty in the future, UW should implement </w:t>
      </w:r>
      <w:proofErr w:type="gramStart"/>
      <w:r w:rsidRPr="00577931">
        <w:rPr>
          <w:rFonts w:ascii="Arial" w:eastAsia="Times New Roman" w:hAnsi="Arial" w:cs="Arial"/>
          <w:sz w:val="22"/>
          <w:szCs w:val="22"/>
        </w:rPr>
        <w:t>3 and 5 year</w:t>
      </w:r>
      <w:proofErr w:type="gramEnd"/>
      <w:r w:rsidRPr="00577931">
        <w:rPr>
          <w:rFonts w:ascii="Arial" w:eastAsia="Times New Roman" w:hAnsi="Arial" w:cs="Arial"/>
          <w:sz w:val="22"/>
          <w:szCs w:val="22"/>
        </w:rPr>
        <w:t xml:space="preserve"> independent evaluations of how COVID-19 impacted faculty equity, productivity, and well-being, and to inform how the UW can build more sustainable caregiver support for its community going forward. </w:t>
      </w:r>
    </w:p>
    <w:p w14:paraId="347E99D8" w14:textId="77777777" w:rsidR="00577931" w:rsidRPr="00577931" w:rsidRDefault="00577931" w:rsidP="00577931">
      <w:pPr>
        <w:textAlignment w:val="baseline"/>
        <w:rPr>
          <w:rFonts w:ascii="Times New Roman" w:eastAsia="Times New Roman" w:hAnsi="Times New Roman" w:cs="Times New Roman"/>
        </w:rPr>
      </w:pPr>
      <w:r w:rsidRPr="00577931">
        <w:rPr>
          <w:rFonts w:ascii="Arial" w:eastAsia="Times New Roman" w:hAnsi="Arial" w:cs="Arial"/>
          <w:b/>
          <w:bCs/>
          <w:sz w:val="22"/>
          <w:szCs w:val="22"/>
        </w:rPr>
        <w:t> </w:t>
      </w:r>
    </w:p>
    <w:p w14:paraId="77E0CEBA" w14:textId="77777777" w:rsidR="00577931" w:rsidRPr="00577931" w:rsidRDefault="00577931" w:rsidP="00577931">
      <w:pPr>
        <w:textAlignment w:val="baseline"/>
        <w:rPr>
          <w:rFonts w:ascii="Times New Roman" w:eastAsia="Times New Roman" w:hAnsi="Times New Roman" w:cs="Times New Roman"/>
        </w:rPr>
      </w:pPr>
      <w:r w:rsidRPr="00577931">
        <w:rPr>
          <w:rFonts w:ascii="Arial" w:eastAsia="Times New Roman" w:hAnsi="Arial" w:cs="Arial"/>
          <w:sz w:val="22"/>
          <w:szCs w:val="22"/>
        </w:rPr>
        <w:t>Respectfully, </w:t>
      </w:r>
    </w:p>
    <w:p w14:paraId="0667BEEB" w14:textId="77777777" w:rsidR="00577931" w:rsidRPr="00577931" w:rsidRDefault="00577931" w:rsidP="00577931">
      <w:pPr>
        <w:textAlignment w:val="baseline"/>
        <w:rPr>
          <w:rFonts w:ascii="Times New Roman" w:eastAsia="Times New Roman" w:hAnsi="Times New Roman" w:cs="Times New Roman"/>
        </w:rPr>
      </w:pPr>
      <w:r w:rsidRPr="00577931">
        <w:rPr>
          <w:rFonts w:ascii="Times New Roman" w:eastAsia="Times New Roman" w:hAnsi="Times New Roman" w:cs="Times New Roman"/>
        </w:rPr>
        <w:t>The UW-AAUP Executive Board </w:t>
      </w:r>
    </w:p>
    <w:p w14:paraId="5513EEE6" w14:textId="77777777" w:rsidR="00577931" w:rsidRPr="00577931" w:rsidRDefault="00577931" w:rsidP="00577931">
      <w:pPr>
        <w:textAlignment w:val="baseline"/>
        <w:rPr>
          <w:rFonts w:ascii="Times New Roman" w:eastAsia="Times New Roman" w:hAnsi="Times New Roman" w:cs="Times New Roman"/>
        </w:rPr>
      </w:pPr>
      <w:r w:rsidRPr="00577931">
        <w:rPr>
          <w:rFonts w:ascii="Arial" w:eastAsia="Times New Roman" w:hAnsi="Arial" w:cs="Arial"/>
          <w:sz w:val="22"/>
          <w:szCs w:val="22"/>
        </w:rPr>
        <w:t> </w:t>
      </w:r>
    </w:p>
    <w:p w14:paraId="78C0C9DD"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 xml:space="preserve">Eva </w:t>
      </w:r>
      <w:proofErr w:type="spellStart"/>
      <w:r w:rsidRPr="00577931">
        <w:rPr>
          <w:rFonts w:ascii="Verdana" w:eastAsia="Times New Roman" w:hAnsi="Verdana" w:cs="Times New Roman"/>
          <w:sz w:val="21"/>
          <w:szCs w:val="21"/>
        </w:rPr>
        <w:t>Cherniavsky</w:t>
      </w:r>
      <w:proofErr w:type="spellEnd"/>
    </w:p>
    <w:p w14:paraId="170D1B19"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 xml:space="preserve">Andrew R. </w:t>
      </w:r>
      <w:proofErr w:type="spellStart"/>
      <w:r w:rsidRPr="00577931">
        <w:rPr>
          <w:rFonts w:ascii="Verdana" w:eastAsia="Times New Roman" w:hAnsi="Verdana" w:cs="Times New Roman"/>
          <w:sz w:val="21"/>
          <w:szCs w:val="21"/>
        </w:rPr>
        <w:t>Hilen</w:t>
      </w:r>
      <w:proofErr w:type="spellEnd"/>
      <w:r w:rsidRPr="00577931">
        <w:rPr>
          <w:rFonts w:ascii="Verdana" w:eastAsia="Times New Roman" w:hAnsi="Verdana" w:cs="Times New Roman"/>
          <w:sz w:val="21"/>
          <w:szCs w:val="21"/>
        </w:rPr>
        <w:t xml:space="preserve"> Professor of American Literature and Culture</w:t>
      </w:r>
    </w:p>
    <w:p w14:paraId="6CD552A4"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Director of Graduate Studies</w:t>
      </w:r>
    </w:p>
    <w:p w14:paraId="4ED03F22"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Department of English </w:t>
      </w:r>
    </w:p>
    <w:p w14:paraId="2612E860"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Box 354330</w:t>
      </w:r>
    </w:p>
    <w:p w14:paraId="3E69695E"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University of Washington</w:t>
      </w:r>
    </w:p>
    <w:p w14:paraId="6CFC015B" w14:textId="77777777" w:rsidR="00577931" w:rsidRPr="00577931" w:rsidRDefault="00577931" w:rsidP="00577931">
      <w:pPr>
        <w:rPr>
          <w:rFonts w:ascii="Verdana" w:eastAsia="Times New Roman" w:hAnsi="Verdana" w:cs="Times New Roman"/>
          <w:sz w:val="21"/>
          <w:szCs w:val="21"/>
        </w:rPr>
      </w:pPr>
      <w:r w:rsidRPr="00577931">
        <w:rPr>
          <w:rFonts w:ascii="Verdana" w:eastAsia="Times New Roman" w:hAnsi="Verdana" w:cs="Times New Roman"/>
          <w:sz w:val="21"/>
          <w:szCs w:val="21"/>
        </w:rPr>
        <w:t>Seattle, WA 98195</w:t>
      </w:r>
    </w:p>
    <w:p w14:paraId="13F5385D" w14:textId="77777777" w:rsidR="00A55D10" w:rsidRDefault="00577931"/>
    <w:sectPr w:rsidR="00A55D10"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81C05"/>
    <w:multiLevelType w:val="multilevel"/>
    <w:tmpl w:val="625C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A01BF"/>
    <w:multiLevelType w:val="multilevel"/>
    <w:tmpl w:val="592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31"/>
    <w:rsid w:val="0003045B"/>
    <w:rsid w:val="000A0AE1"/>
    <w:rsid w:val="000D1C73"/>
    <w:rsid w:val="000D1D3C"/>
    <w:rsid w:val="000D3B05"/>
    <w:rsid w:val="000E7EAC"/>
    <w:rsid w:val="00107AC3"/>
    <w:rsid w:val="0012694F"/>
    <w:rsid w:val="00136B55"/>
    <w:rsid w:val="00147B36"/>
    <w:rsid w:val="00171F14"/>
    <w:rsid w:val="001B395B"/>
    <w:rsid w:val="00203F00"/>
    <w:rsid w:val="00204F55"/>
    <w:rsid w:val="002B6D2D"/>
    <w:rsid w:val="002D6DB2"/>
    <w:rsid w:val="002E4BED"/>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43551"/>
    <w:rsid w:val="005633EB"/>
    <w:rsid w:val="005636B4"/>
    <w:rsid w:val="00572D50"/>
    <w:rsid w:val="005731D9"/>
    <w:rsid w:val="00577931"/>
    <w:rsid w:val="005B0EC3"/>
    <w:rsid w:val="005B3CF8"/>
    <w:rsid w:val="005D5CBC"/>
    <w:rsid w:val="006126A3"/>
    <w:rsid w:val="00673E6F"/>
    <w:rsid w:val="006C2FBA"/>
    <w:rsid w:val="00710441"/>
    <w:rsid w:val="007245EF"/>
    <w:rsid w:val="00756C06"/>
    <w:rsid w:val="00783C2F"/>
    <w:rsid w:val="007A08FF"/>
    <w:rsid w:val="007C01AF"/>
    <w:rsid w:val="007E2954"/>
    <w:rsid w:val="00804534"/>
    <w:rsid w:val="008057DB"/>
    <w:rsid w:val="0081652D"/>
    <w:rsid w:val="008806C3"/>
    <w:rsid w:val="008A7B0C"/>
    <w:rsid w:val="008F7BA8"/>
    <w:rsid w:val="00904067"/>
    <w:rsid w:val="00960AB0"/>
    <w:rsid w:val="00961CCE"/>
    <w:rsid w:val="009670CC"/>
    <w:rsid w:val="00994F65"/>
    <w:rsid w:val="009F3231"/>
    <w:rsid w:val="00A51F78"/>
    <w:rsid w:val="00AA74DE"/>
    <w:rsid w:val="00AC1078"/>
    <w:rsid w:val="00AE3CD1"/>
    <w:rsid w:val="00B86CD3"/>
    <w:rsid w:val="00B97360"/>
    <w:rsid w:val="00C216FB"/>
    <w:rsid w:val="00C21F10"/>
    <w:rsid w:val="00C37D86"/>
    <w:rsid w:val="00C71BE2"/>
    <w:rsid w:val="00CD7661"/>
    <w:rsid w:val="00CE4473"/>
    <w:rsid w:val="00D019A1"/>
    <w:rsid w:val="00D47739"/>
    <w:rsid w:val="00D65EBD"/>
    <w:rsid w:val="00D71112"/>
    <w:rsid w:val="00DA509A"/>
    <w:rsid w:val="00DA5E85"/>
    <w:rsid w:val="00DA7F84"/>
    <w:rsid w:val="00DE138F"/>
    <w:rsid w:val="00EA239B"/>
    <w:rsid w:val="00EB5143"/>
    <w:rsid w:val="00EC2662"/>
    <w:rsid w:val="00EE6AA3"/>
    <w:rsid w:val="00F02D44"/>
    <w:rsid w:val="00F12B17"/>
    <w:rsid w:val="00F16321"/>
    <w:rsid w:val="00F16698"/>
    <w:rsid w:val="00F22F73"/>
    <w:rsid w:val="00F4508B"/>
    <w:rsid w:val="00F70AB2"/>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279F0"/>
  <w15:chartTrackingRefBased/>
  <w15:docId w15:val="{948B8601-3035-2E47-8825-DBAF64D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apple-converted-space">
    <w:name w:val="apple-converted-space"/>
    <w:basedOn w:val="DefaultParagraphFont"/>
    <w:rsid w:val="00577931"/>
  </w:style>
  <w:style w:type="character" w:styleId="Hyperlink">
    <w:name w:val="Hyperlink"/>
    <w:basedOn w:val="DefaultParagraphFont"/>
    <w:uiPriority w:val="99"/>
    <w:semiHidden/>
    <w:unhideWhenUsed/>
    <w:rsid w:val="0057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76787">
      <w:bodyDiv w:val="1"/>
      <w:marLeft w:val="0"/>
      <w:marRight w:val="0"/>
      <w:marTop w:val="0"/>
      <w:marBottom w:val="0"/>
      <w:divBdr>
        <w:top w:val="none" w:sz="0" w:space="0" w:color="auto"/>
        <w:left w:val="none" w:sz="0" w:space="0" w:color="auto"/>
        <w:bottom w:val="none" w:sz="0" w:space="0" w:color="auto"/>
        <w:right w:val="none" w:sz="0" w:space="0" w:color="auto"/>
      </w:divBdr>
      <w:divsChild>
        <w:div w:id="80959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21026">
              <w:marLeft w:val="0"/>
              <w:marRight w:val="0"/>
              <w:marTop w:val="0"/>
              <w:marBottom w:val="0"/>
              <w:divBdr>
                <w:top w:val="none" w:sz="0" w:space="0" w:color="auto"/>
                <w:left w:val="none" w:sz="0" w:space="0" w:color="auto"/>
                <w:bottom w:val="none" w:sz="0" w:space="0" w:color="auto"/>
                <w:right w:val="none" w:sz="0" w:space="0" w:color="auto"/>
              </w:divBdr>
            </w:div>
            <w:div w:id="1740864599">
              <w:marLeft w:val="0"/>
              <w:marRight w:val="0"/>
              <w:marTop w:val="0"/>
              <w:marBottom w:val="0"/>
              <w:divBdr>
                <w:top w:val="none" w:sz="0" w:space="0" w:color="auto"/>
                <w:left w:val="none" w:sz="0" w:space="0" w:color="auto"/>
                <w:bottom w:val="none" w:sz="0" w:space="0" w:color="auto"/>
                <w:right w:val="none" w:sz="0" w:space="0" w:color="auto"/>
              </w:divBdr>
              <w:divsChild>
                <w:div w:id="844436070">
                  <w:marLeft w:val="0"/>
                  <w:marRight w:val="0"/>
                  <w:marTop w:val="0"/>
                  <w:marBottom w:val="0"/>
                  <w:divBdr>
                    <w:top w:val="none" w:sz="0" w:space="0" w:color="auto"/>
                    <w:left w:val="none" w:sz="0" w:space="0" w:color="auto"/>
                    <w:bottom w:val="none" w:sz="0" w:space="0" w:color="auto"/>
                    <w:right w:val="none" w:sz="0" w:space="0" w:color="auto"/>
                  </w:divBdr>
                  <w:divsChild>
                    <w:div w:id="1912227983">
                      <w:marLeft w:val="0"/>
                      <w:marRight w:val="0"/>
                      <w:marTop w:val="0"/>
                      <w:marBottom w:val="0"/>
                      <w:divBdr>
                        <w:top w:val="none" w:sz="0" w:space="0" w:color="auto"/>
                        <w:left w:val="none" w:sz="0" w:space="0" w:color="auto"/>
                        <w:bottom w:val="none" w:sz="0" w:space="0" w:color="auto"/>
                        <w:right w:val="none" w:sz="0" w:space="0" w:color="auto"/>
                      </w:divBdr>
                    </w:div>
                    <w:div w:id="582569282">
                      <w:marLeft w:val="0"/>
                      <w:marRight w:val="0"/>
                      <w:marTop w:val="0"/>
                      <w:marBottom w:val="0"/>
                      <w:divBdr>
                        <w:top w:val="none" w:sz="0" w:space="0" w:color="auto"/>
                        <w:left w:val="none" w:sz="0" w:space="0" w:color="auto"/>
                        <w:bottom w:val="none" w:sz="0" w:space="0" w:color="auto"/>
                        <w:right w:val="none" w:sz="0" w:space="0" w:color="auto"/>
                      </w:divBdr>
                    </w:div>
                    <w:div w:id="14892993">
                      <w:marLeft w:val="0"/>
                      <w:marRight w:val="0"/>
                      <w:marTop w:val="0"/>
                      <w:marBottom w:val="0"/>
                      <w:divBdr>
                        <w:top w:val="none" w:sz="0" w:space="0" w:color="auto"/>
                        <w:left w:val="none" w:sz="0" w:space="0" w:color="auto"/>
                        <w:bottom w:val="none" w:sz="0" w:space="0" w:color="auto"/>
                        <w:right w:val="none" w:sz="0" w:space="0" w:color="auto"/>
                      </w:divBdr>
                    </w:div>
                    <w:div w:id="1687825701">
                      <w:marLeft w:val="0"/>
                      <w:marRight w:val="0"/>
                      <w:marTop w:val="0"/>
                      <w:marBottom w:val="0"/>
                      <w:divBdr>
                        <w:top w:val="none" w:sz="0" w:space="0" w:color="auto"/>
                        <w:left w:val="none" w:sz="0" w:space="0" w:color="auto"/>
                        <w:bottom w:val="none" w:sz="0" w:space="0" w:color="auto"/>
                        <w:right w:val="none" w:sz="0" w:space="0" w:color="auto"/>
                      </w:divBdr>
                    </w:div>
                    <w:div w:id="1867790432">
                      <w:marLeft w:val="0"/>
                      <w:marRight w:val="0"/>
                      <w:marTop w:val="0"/>
                      <w:marBottom w:val="0"/>
                      <w:divBdr>
                        <w:top w:val="none" w:sz="0" w:space="0" w:color="auto"/>
                        <w:left w:val="none" w:sz="0" w:space="0" w:color="auto"/>
                        <w:bottom w:val="none" w:sz="0" w:space="0" w:color="auto"/>
                        <w:right w:val="none" w:sz="0" w:space="0" w:color="auto"/>
                      </w:divBdr>
                    </w:div>
                    <w:div w:id="1504080212">
                      <w:marLeft w:val="0"/>
                      <w:marRight w:val="0"/>
                      <w:marTop w:val="0"/>
                      <w:marBottom w:val="0"/>
                      <w:divBdr>
                        <w:top w:val="none" w:sz="0" w:space="0" w:color="auto"/>
                        <w:left w:val="none" w:sz="0" w:space="0" w:color="auto"/>
                        <w:bottom w:val="none" w:sz="0" w:space="0" w:color="auto"/>
                        <w:right w:val="none" w:sz="0" w:space="0" w:color="auto"/>
                      </w:divBdr>
                      <w:divsChild>
                        <w:div w:id="1168441755">
                          <w:marLeft w:val="0"/>
                          <w:marRight w:val="0"/>
                          <w:marTop w:val="0"/>
                          <w:marBottom w:val="0"/>
                          <w:divBdr>
                            <w:top w:val="none" w:sz="0" w:space="0" w:color="auto"/>
                            <w:left w:val="none" w:sz="0" w:space="0" w:color="auto"/>
                            <w:bottom w:val="none" w:sz="0" w:space="0" w:color="auto"/>
                            <w:right w:val="none" w:sz="0" w:space="0" w:color="auto"/>
                          </w:divBdr>
                        </w:div>
                        <w:div w:id="245769683">
                          <w:marLeft w:val="0"/>
                          <w:marRight w:val="0"/>
                          <w:marTop w:val="0"/>
                          <w:marBottom w:val="0"/>
                          <w:divBdr>
                            <w:top w:val="none" w:sz="0" w:space="0" w:color="auto"/>
                            <w:left w:val="none" w:sz="0" w:space="0" w:color="auto"/>
                            <w:bottom w:val="none" w:sz="0" w:space="0" w:color="auto"/>
                            <w:right w:val="none" w:sz="0" w:space="0" w:color="auto"/>
                          </w:divBdr>
                        </w:div>
                        <w:div w:id="871577726">
                          <w:marLeft w:val="0"/>
                          <w:marRight w:val="0"/>
                          <w:marTop w:val="0"/>
                          <w:marBottom w:val="0"/>
                          <w:divBdr>
                            <w:top w:val="none" w:sz="0" w:space="0" w:color="auto"/>
                            <w:left w:val="none" w:sz="0" w:space="0" w:color="auto"/>
                            <w:bottom w:val="none" w:sz="0" w:space="0" w:color="auto"/>
                            <w:right w:val="none" w:sz="0" w:space="0" w:color="auto"/>
                          </w:divBdr>
                        </w:div>
                        <w:div w:id="1267034517">
                          <w:marLeft w:val="0"/>
                          <w:marRight w:val="0"/>
                          <w:marTop w:val="0"/>
                          <w:marBottom w:val="0"/>
                          <w:divBdr>
                            <w:top w:val="none" w:sz="0" w:space="0" w:color="auto"/>
                            <w:left w:val="none" w:sz="0" w:space="0" w:color="auto"/>
                            <w:bottom w:val="none" w:sz="0" w:space="0" w:color="auto"/>
                            <w:right w:val="none" w:sz="0" w:space="0" w:color="auto"/>
                          </w:divBdr>
                        </w:div>
                        <w:div w:id="837578634">
                          <w:marLeft w:val="0"/>
                          <w:marRight w:val="0"/>
                          <w:marTop w:val="0"/>
                          <w:marBottom w:val="0"/>
                          <w:divBdr>
                            <w:top w:val="none" w:sz="0" w:space="0" w:color="auto"/>
                            <w:left w:val="none" w:sz="0" w:space="0" w:color="auto"/>
                            <w:bottom w:val="none" w:sz="0" w:space="0" w:color="auto"/>
                            <w:right w:val="none" w:sz="0" w:space="0" w:color="auto"/>
                          </w:divBdr>
                        </w:div>
                        <w:div w:id="1342509043">
                          <w:marLeft w:val="0"/>
                          <w:marRight w:val="0"/>
                          <w:marTop w:val="0"/>
                          <w:marBottom w:val="0"/>
                          <w:divBdr>
                            <w:top w:val="none" w:sz="0" w:space="0" w:color="auto"/>
                            <w:left w:val="none" w:sz="0" w:space="0" w:color="auto"/>
                            <w:bottom w:val="none" w:sz="0" w:space="0" w:color="auto"/>
                            <w:right w:val="none" w:sz="0" w:space="0" w:color="auto"/>
                          </w:divBdr>
                        </w:div>
                        <w:div w:id="1932541315">
                          <w:marLeft w:val="0"/>
                          <w:marRight w:val="0"/>
                          <w:marTop w:val="0"/>
                          <w:marBottom w:val="0"/>
                          <w:divBdr>
                            <w:top w:val="none" w:sz="0" w:space="0" w:color="auto"/>
                            <w:left w:val="none" w:sz="0" w:space="0" w:color="auto"/>
                            <w:bottom w:val="none" w:sz="0" w:space="0" w:color="auto"/>
                            <w:right w:val="none" w:sz="0" w:space="0" w:color="auto"/>
                          </w:divBdr>
                        </w:div>
                        <w:div w:id="1951011380">
                          <w:marLeft w:val="0"/>
                          <w:marRight w:val="0"/>
                          <w:marTop w:val="0"/>
                          <w:marBottom w:val="0"/>
                          <w:divBdr>
                            <w:top w:val="none" w:sz="0" w:space="0" w:color="auto"/>
                            <w:left w:val="none" w:sz="0" w:space="0" w:color="auto"/>
                            <w:bottom w:val="none" w:sz="0" w:space="0" w:color="auto"/>
                            <w:right w:val="none" w:sz="0" w:space="0" w:color="auto"/>
                          </w:divBdr>
                        </w:div>
                      </w:divsChild>
                    </w:div>
                    <w:div w:id="99188249">
                      <w:marLeft w:val="0"/>
                      <w:marRight w:val="0"/>
                      <w:marTop w:val="0"/>
                      <w:marBottom w:val="0"/>
                      <w:divBdr>
                        <w:top w:val="none" w:sz="0" w:space="0" w:color="auto"/>
                        <w:left w:val="none" w:sz="0" w:space="0" w:color="auto"/>
                        <w:bottom w:val="none" w:sz="0" w:space="0" w:color="auto"/>
                        <w:right w:val="none" w:sz="0" w:space="0" w:color="auto"/>
                      </w:divBdr>
                      <w:divsChild>
                        <w:div w:id="1275092515">
                          <w:marLeft w:val="0"/>
                          <w:marRight w:val="0"/>
                          <w:marTop w:val="0"/>
                          <w:marBottom w:val="0"/>
                          <w:divBdr>
                            <w:top w:val="none" w:sz="0" w:space="0" w:color="auto"/>
                            <w:left w:val="none" w:sz="0" w:space="0" w:color="auto"/>
                            <w:bottom w:val="none" w:sz="0" w:space="0" w:color="auto"/>
                            <w:right w:val="none" w:sz="0" w:space="0" w:color="auto"/>
                          </w:divBdr>
                          <w:divsChild>
                            <w:div w:id="1882550358">
                              <w:marLeft w:val="0"/>
                              <w:marRight w:val="0"/>
                              <w:marTop w:val="0"/>
                              <w:marBottom w:val="0"/>
                              <w:divBdr>
                                <w:top w:val="none" w:sz="0" w:space="0" w:color="auto"/>
                                <w:left w:val="none" w:sz="0" w:space="0" w:color="auto"/>
                                <w:bottom w:val="none" w:sz="0" w:space="0" w:color="auto"/>
                                <w:right w:val="none" w:sz="0" w:space="0" w:color="auto"/>
                              </w:divBdr>
                              <w:divsChild>
                                <w:div w:id="940994631">
                                  <w:marLeft w:val="0"/>
                                  <w:marRight w:val="0"/>
                                  <w:marTop w:val="0"/>
                                  <w:marBottom w:val="0"/>
                                  <w:divBdr>
                                    <w:top w:val="none" w:sz="0" w:space="0" w:color="auto"/>
                                    <w:left w:val="none" w:sz="0" w:space="0" w:color="auto"/>
                                    <w:bottom w:val="none" w:sz="0" w:space="0" w:color="auto"/>
                                    <w:right w:val="none" w:sz="0" w:space="0" w:color="auto"/>
                                  </w:divBdr>
                                  <w:divsChild>
                                    <w:div w:id="1322847921">
                                      <w:marLeft w:val="0"/>
                                      <w:marRight w:val="0"/>
                                      <w:marTop w:val="0"/>
                                      <w:marBottom w:val="0"/>
                                      <w:divBdr>
                                        <w:top w:val="none" w:sz="0" w:space="0" w:color="auto"/>
                                        <w:left w:val="none" w:sz="0" w:space="0" w:color="auto"/>
                                        <w:bottom w:val="none" w:sz="0" w:space="0" w:color="auto"/>
                                        <w:right w:val="none" w:sz="0" w:space="0" w:color="auto"/>
                                      </w:divBdr>
                                      <w:divsChild>
                                        <w:div w:id="1209761553">
                                          <w:marLeft w:val="0"/>
                                          <w:marRight w:val="0"/>
                                          <w:marTop w:val="0"/>
                                          <w:marBottom w:val="0"/>
                                          <w:divBdr>
                                            <w:top w:val="none" w:sz="0" w:space="0" w:color="auto"/>
                                            <w:left w:val="none" w:sz="0" w:space="0" w:color="auto"/>
                                            <w:bottom w:val="none" w:sz="0" w:space="0" w:color="auto"/>
                                            <w:right w:val="none" w:sz="0" w:space="0" w:color="auto"/>
                                          </w:divBdr>
                                          <w:divsChild>
                                            <w:div w:id="370420117">
                                              <w:marLeft w:val="0"/>
                                              <w:marRight w:val="0"/>
                                              <w:marTop w:val="0"/>
                                              <w:marBottom w:val="0"/>
                                              <w:divBdr>
                                                <w:top w:val="none" w:sz="0" w:space="0" w:color="auto"/>
                                                <w:left w:val="none" w:sz="0" w:space="0" w:color="auto"/>
                                                <w:bottom w:val="none" w:sz="0" w:space="0" w:color="auto"/>
                                                <w:right w:val="none" w:sz="0" w:space="0" w:color="auto"/>
                                              </w:divBdr>
                                              <w:divsChild>
                                                <w:div w:id="1524786270">
                                                  <w:marLeft w:val="0"/>
                                                  <w:marRight w:val="0"/>
                                                  <w:marTop w:val="0"/>
                                                  <w:marBottom w:val="0"/>
                                                  <w:divBdr>
                                                    <w:top w:val="none" w:sz="0" w:space="0" w:color="auto"/>
                                                    <w:left w:val="none" w:sz="0" w:space="0" w:color="auto"/>
                                                    <w:bottom w:val="none" w:sz="0" w:space="0" w:color="auto"/>
                                                    <w:right w:val="none" w:sz="0" w:space="0" w:color="auto"/>
                                                  </w:divBdr>
                                                  <w:divsChild>
                                                    <w:div w:id="1383945368">
                                                      <w:marLeft w:val="0"/>
                                                      <w:marRight w:val="0"/>
                                                      <w:marTop w:val="0"/>
                                                      <w:marBottom w:val="0"/>
                                                      <w:divBdr>
                                                        <w:top w:val="none" w:sz="0" w:space="0" w:color="auto"/>
                                                        <w:left w:val="none" w:sz="0" w:space="0" w:color="auto"/>
                                                        <w:bottom w:val="none" w:sz="0" w:space="0" w:color="auto"/>
                                                        <w:right w:val="none" w:sz="0" w:space="0" w:color="auto"/>
                                                      </w:divBdr>
                                                      <w:divsChild>
                                                        <w:div w:id="1331330621">
                                                          <w:marLeft w:val="0"/>
                                                          <w:marRight w:val="0"/>
                                                          <w:marTop w:val="0"/>
                                                          <w:marBottom w:val="0"/>
                                                          <w:divBdr>
                                                            <w:top w:val="none" w:sz="0" w:space="0" w:color="auto"/>
                                                            <w:left w:val="none" w:sz="0" w:space="0" w:color="auto"/>
                                                            <w:bottom w:val="none" w:sz="0" w:space="0" w:color="auto"/>
                                                            <w:right w:val="none" w:sz="0" w:space="0" w:color="auto"/>
                                                          </w:divBdr>
                                                          <w:divsChild>
                                                            <w:div w:id="1618947277">
                                                              <w:marLeft w:val="0"/>
                                                              <w:marRight w:val="0"/>
                                                              <w:marTop w:val="0"/>
                                                              <w:marBottom w:val="0"/>
                                                              <w:divBdr>
                                                                <w:top w:val="none" w:sz="0" w:space="0" w:color="auto"/>
                                                                <w:left w:val="none" w:sz="0" w:space="0" w:color="auto"/>
                                                                <w:bottom w:val="none" w:sz="0" w:space="0" w:color="auto"/>
                                                                <w:right w:val="none" w:sz="0" w:space="0" w:color="auto"/>
                                                              </w:divBdr>
                                                            </w:div>
                                                          </w:divsChild>
                                                        </w:div>
                                                        <w:div w:id="4831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s.org/content/early/2020/06/16/20106361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20/08/19/upshot/coronavirus-home-school-parents.html" TargetMode="External"/><Relationship Id="rId12" Type="http://schemas.openxmlformats.org/officeDocument/2006/relationships/hyperlink" Target="https://www.cnet.com/news/google-extends-family-leave-for-employees-during-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uwcaregiverstories" TargetMode="External"/><Relationship Id="rId11" Type="http://schemas.openxmlformats.org/officeDocument/2006/relationships/hyperlink" Target="https://ap.washington.edu/ahr/policies/leaves/leave-under-the-families-first-coronavirus-response-act/" TargetMode="External"/><Relationship Id="rId5" Type="http://schemas.openxmlformats.org/officeDocument/2006/relationships/hyperlink" Target="http://depts.washington.edu/uwaaup/wordpress/" TargetMode="External"/><Relationship Id="rId10" Type="http://schemas.openxmlformats.org/officeDocument/2006/relationships/hyperlink" Target="https://www.uwb.edu/financial-aid/child-care-assistance-program" TargetMode="External"/><Relationship Id="rId4" Type="http://schemas.openxmlformats.org/officeDocument/2006/relationships/webSettings" Target="webSettings.xml"/><Relationship Id="rId9" Type="http://schemas.openxmlformats.org/officeDocument/2006/relationships/hyperlink" Target="https://www.insidehighered.com/news/2020/08/11/faculty-parents-are-once-again-being-asked-perform-mira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7245</Characters>
  <Application>Microsoft Office Word</Application>
  <DocSecurity>0</DocSecurity>
  <Lines>60</Lines>
  <Paragraphs>16</Paragraphs>
  <ScaleCrop>false</ScaleCrop>
  <Company>UW</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1</cp:revision>
  <dcterms:created xsi:type="dcterms:W3CDTF">2020-09-09T00:42:00Z</dcterms:created>
  <dcterms:modified xsi:type="dcterms:W3CDTF">2020-09-09T00:43:00Z</dcterms:modified>
</cp:coreProperties>
</file>