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DE" w:rsidRPr="00AB5564" w:rsidRDefault="00933BDE" w:rsidP="0068567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Today’s piece was prepared by Matt Test, MD, based on a Fox News article, “FDA Approves First Brainwave Test for ADHD” </w:t>
      </w:r>
      <w:hyperlink r:id="rId5" w:history="1">
        <w:r w:rsidRPr="00AB5564">
          <w:rPr>
            <w:rStyle w:val="Hyperlink"/>
            <w:rFonts w:ascii="Arial" w:eastAsia="Times New Roman" w:hAnsi="Arial" w:cs="Arial"/>
            <w:sz w:val="20"/>
            <w:szCs w:val="20"/>
          </w:rPr>
          <w:t>http://www.foxnews.com/health/2013/07/16/fda-approves-first-brain-wave-test-for-adhd/</w:t>
        </w:r>
      </w:hyperlink>
    </w:p>
    <w:p w:rsidR="00685676" w:rsidRPr="00AB5564" w:rsidRDefault="00933BDE" w:rsidP="0068567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This article addresses the use of an EEG-based device newly approved by the FDA to aid in the diagnosis of </w:t>
      </w:r>
      <w:r w:rsidR="00685676" w:rsidRPr="00AB5564">
        <w:rPr>
          <w:rFonts w:ascii="Arial" w:eastAsia="Times New Roman" w:hAnsi="Arial" w:cs="Arial"/>
          <w:color w:val="000000"/>
          <w:sz w:val="20"/>
          <w:szCs w:val="20"/>
        </w:rPr>
        <w:t>Attention Deficit and Hyperactivity Disorder (ADHD)</w:t>
      </w:r>
      <w:r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in youth ages 6 to 17. ADHD</w:t>
      </w:r>
      <w:r w:rsidR="00685676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has received a lot of attention within the medical community and po</w:t>
      </w:r>
      <w:r w:rsidR="00F63FFC" w:rsidRPr="00AB5564">
        <w:rPr>
          <w:rFonts w:ascii="Arial" w:eastAsia="Times New Roman" w:hAnsi="Arial" w:cs="Arial"/>
          <w:color w:val="000000"/>
          <w:sz w:val="20"/>
          <w:szCs w:val="20"/>
        </w:rPr>
        <w:t>pular media due</w:t>
      </w:r>
      <w:r w:rsidR="00475F32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F63FFC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its high</w:t>
      </w:r>
      <w:r w:rsidR="00685676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prevalence and substantial increase in ADHD prescriptions over the past decade.  </w:t>
      </w:r>
      <w:r w:rsidRPr="00AB5564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685676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FDA</w:t>
      </w:r>
      <w:r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85676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approved </w:t>
      </w:r>
      <w:r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the use of </w:t>
      </w:r>
      <w:r w:rsidR="00685676" w:rsidRPr="00AB5564">
        <w:rPr>
          <w:rFonts w:ascii="Arial" w:eastAsia="Times New Roman" w:hAnsi="Arial" w:cs="Arial"/>
          <w:color w:val="000000"/>
          <w:sz w:val="20"/>
          <w:szCs w:val="20"/>
        </w:rPr>
        <w:t>Neuropsychiatric EEG-Based Assessment Aid (NEBA) System</w:t>
      </w:r>
      <w:r w:rsidR="00475F32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based on research suggesting t</w:t>
      </w:r>
      <w:r w:rsidR="00A2452D" w:rsidRPr="00AB5564">
        <w:rPr>
          <w:rFonts w:ascii="Arial" w:eastAsia="Times New Roman" w:hAnsi="Arial" w:cs="Arial"/>
          <w:color w:val="000000"/>
          <w:sz w:val="20"/>
          <w:szCs w:val="20"/>
        </w:rPr>
        <w:t>he ratio of theta to beta</w:t>
      </w:r>
      <w:r w:rsidR="004F68C2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(TBR)</w:t>
      </w:r>
      <w:r w:rsidR="00A2452D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brain </w:t>
      </w:r>
      <w:r w:rsidR="00A2452D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waves to be higher in </w:t>
      </w:r>
      <w:r w:rsidR="00221C2F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children and adolescents with ADHD than in those without </w:t>
      </w:r>
      <w:r w:rsidR="002B2AE5" w:rsidRPr="00AB5564">
        <w:rPr>
          <w:rFonts w:ascii="Arial" w:eastAsia="Times New Roman" w:hAnsi="Arial" w:cs="Arial"/>
          <w:color w:val="000000"/>
          <w:sz w:val="20"/>
          <w:szCs w:val="20"/>
        </w:rPr>
        <w:t>it</w:t>
      </w:r>
      <w:r w:rsidR="00AB556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B5564" w:rsidRDefault="00685676" w:rsidP="002B2AE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The article </w:t>
      </w:r>
      <w:r w:rsidR="005D77E6" w:rsidRPr="00AB5564">
        <w:rPr>
          <w:rFonts w:ascii="Arial" w:eastAsia="Times New Roman" w:hAnsi="Arial" w:cs="Arial"/>
          <w:color w:val="000000"/>
          <w:sz w:val="20"/>
          <w:szCs w:val="20"/>
        </w:rPr>
        <w:t>appropriately</w:t>
      </w:r>
      <w:r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states that this new technology should not replace sta</w:t>
      </w:r>
      <w:r w:rsidR="005D77E6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ndard diagnostic techniques </w:t>
      </w:r>
      <w:r w:rsidR="002B2AE5" w:rsidRPr="00AB5564">
        <w:rPr>
          <w:rFonts w:ascii="Arial" w:eastAsia="Times New Roman" w:hAnsi="Arial" w:cs="Arial"/>
          <w:color w:val="000000"/>
          <w:sz w:val="20"/>
          <w:szCs w:val="20"/>
        </w:rPr>
        <w:t>and emphasizes</w:t>
      </w:r>
      <w:r w:rsidR="00A2452D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“diagnosis ADHD is a multistep process based on a complete medical and psychiatric exam.”</w:t>
      </w:r>
      <w:r w:rsidR="005D77E6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1C2F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Although </w:t>
      </w:r>
      <w:r w:rsidR="00933BDE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the journalist reports </w:t>
      </w:r>
      <w:r w:rsidR="00221C2F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that the use of the NEBA system increased the </w:t>
      </w:r>
      <w:r w:rsidR="00933BDE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clinical diagnostic </w:t>
      </w:r>
      <w:r w:rsidR="00221C2F" w:rsidRPr="00AB5564">
        <w:rPr>
          <w:rFonts w:ascii="Arial" w:eastAsia="Times New Roman" w:hAnsi="Arial" w:cs="Arial"/>
          <w:color w:val="000000"/>
          <w:sz w:val="20"/>
          <w:szCs w:val="20"/>
        </w:rPr>
        <w:t>accuracy of ADHD,</w:t>
      </w:r>
      <w:r w:rsidR="00524D93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there is no word on the reliability or validity of the test population</w:t>
      </w:r>
      <w:r w:rsidR="0038534C" w:rsidRPr="00AB5564">
        <w:rPr>
          <w:rFonts w:ascii="Arial" w:eastAsia="Times New Roman" w:hAnsi="Arial" w:cs="Arial"/>
          <w:color w:val="000000"/>
          <w:sz w:val="20"/>
          <w:szCs w:val="20"/>
        </w:rPr>
        <w:t>, clinical design</w:t>
      </w:r>
      <w:r w:rsidR="00524D93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or any reference to the original research citation (which seems undiscoverable in </w:t>
      </w:r>
      <w:proofErr w:type="spellStart"/>
      <w:r w:rsidR="00524D93" w:rsidRPr="00AB5564">
        <w:rPr>
          <w:rFonts w:ascii="Arial" w:eastAsia="Times New Roman" w:hAnsi="Arial" w:cs="Arial"/>
          <w:color w:val="000000"/>
          <w:sz w:val="20"/>
          <w:szCs w:val="20"/>
        </w:rPr>
        <w:t>PubMed</w:t>
      </w:r>
      <w:proofErr w:type="spellEnd"/>
      <w:r w:rsidR="00524D93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) to assist a critical consumer in examining the scientific basis of the research or its financial sponsorship. </w:t>
      </w:r>
      <w:r w:rsidR="00221C2F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53CC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4F68C2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Further, </w:t>
      </w:r>
      <w:r w:rsidR="0038534C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it seems </w:t>
      </w:r>
      <w:r w:rsidR="004F68C2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that only a single study has been conducted that validates this </w:t>
      </w:r>
      <w:r w:rsidR="006F4FA4" w:rsidRPr="00AB5564">
        <w:rPr>
          <w:rFonts w:ascii="Arial" w:eastAsia="Times New Roman" w:hAnsi="Arial" w:cs="Arial"/>
          <w:color w:val="000000"/>
          <w:sz w:val="20"/>
          <w:szCs w:val="20"/>
        </w:rPr>
        <w:t>device</w:t>
      </w:r>
      <w:r w:rsidR="004F68C2" w:rsidRPr="00AB5564">
        <w:rPr>
          <w:rFonts w:ascii="Arial" w:eastAsia="Times New Roman" w:hAnsi="Arial" w:cs="Arial"/>
          <w:color w:val="000000"/>
          <w:sz w:val="20"/>
          <w:szCs w:val="20"/>
        </w:rPr>
        <w:t>. Of interest, a 2013 meta-analysis of the value of TBR in EEG-based ADHD diagnosis questions calls into question important aspects of reliability</w:t>
      </w:r>
      <w:r w:rsidR="006F4FA4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in this approach</w:t>
      </w:r>
      <w:r w:rsidR="00AB556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7C15C0" w:rsidRPr="00AB5564" w:rsidRDefault="004F68C2" w:rsidP="002B2AE5">
      <w:pPr>
        <w:spacing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spellStart"/>
      <w:r w:rsidRPr="00AB5564">
        <w:rPr>
          <w:rFonts w:ascii="Arial" w:eastAsia="Times New Roman" w:hAnsi="Arial" w:cs="Arial"/>
          <w:i/>
          <w:color w:val="000000"/>
          <w:sz w:val="20"/>
          <w:szCs w:val="20"/>
        </w:rPr>
        <w:t>Arns</w:t>
      </w:r>
      <w:proofErr w:type="spellEnd"/>
      <w:r w:rsidRPr="00AB556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 et al. </w:t>
      </w:r>
      <w:proofErr w:type="gramStart"/>
      <w:r w:rsidRPr="00AB5564">
        <w:rPr>
          <w:rFonts w:ascii="Arial" w:eastAsia="Times New Roman" w:hAnsi="Arial" w:cs="Arial"/>
          <w:i/>
          <w:color w:val="000000"/>
          <w:sz w:val="20"/>
          <w:szCs w:val="20"/>
        </w:rPr>
        <w:t>A Decade of EEG Theta/Beta Rat</w:t>
      </w:r>
      <w:r w:rsidR="00AB5564">
        <w:rPr>
          <w:rFonts w:ascii="Arial" w:eastAsia="Times New Roman" w:hAnsi="Arial" w:cs="Arial"/>
          <w:i/>
          <w:color w:val="000000"/>
          <w:sz w:val="20"/>
          <w:szCs w:val="20"/>
        </w:rPr>
        <w:t>io Research in ADHD.</w:t>
      </w:r>
      <w:proofErr w:type="gramEnd"/>
      <w:r w:rsidR="00AB556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J </w:t>
      </w:r>
      <w:proofErr w:type="spellStart"/>
      <w:r w:rsidR="00AB5564">
        <w:rPr>
          <w:rFonts w:ascii="Arial" w:eastAsia="Times New Roman" w:hAnsi="Arial" w:cs="Arial"/>
          <w:i/>
          <w:color w:val="000000"/>
          <w:sz w:val="20"/>
          <w:szCs w:val="20"/>
        </w:rPr>
        <w:t>Atten</w:t>
      </w:r>
      <w:proofErr w:type="spellEnd"/>
      <w:r w:rsidR="00AB556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AB5564">
        <w:rPr>
          <w:rFonts w:ascii="Arial" w:eastAsia="Times New Roman" w:hAnsi="Arial" w:cs="Arial"/>
          <w:i/>
          <w:color w:val="000000"/>
          <w:sz w:val="20"/>
          <w:szCs w:val="20"/>
        </w:rPr>
        <w:t>Disord</w:t>
      </w:r>
      <w:proofErr w:type="spellEnd"/>
      <w:r w:rsidRPr="00AB5564">
        <w:rPr>
          <w:rFonts w:ascii="Arial" w:eastAsia="Times New Roman" w:hAnsi="Arial" w:cs="Arial"/>
          <w:i/>
          <w:color w:val="000000"/>
          <w:sz w:val="20"/>
          <w:szCs w:val="20"/>
        </w:rPr>
        <w:t>; 2013; 17:374</w:t>
      </w:r>
    </w:p>
    <w:p w:rsidR="00685676" w:rsidRPr="00AB5564" w:rsidRDefault="006F4FA4" w:rsidP="00AB556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5564">
        <w:rPr>
          <w:rFonts w:ascii="Arial" w:eastAsia="Times New Roman" w:hAnsi="Arial" w:cs="Arial"/>
          <w:color w:val="000000"/>
          <w:sz w:val="20"/>
          <w:szCs w:val="20"/>
        </w:rPr>
        <w:t>Parents seeking simple elegant solutions to complex neurodevelopmental and psychosocial challenges may be unfairly influenced by this article. A</w:t>
      </w:r>
      <w:r w:rsidR="00F63FFC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more</w:t>
      </w:r>
      <w:r w:rsidR="008C30B5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thorough evaluation of its predictive accuracy and</w:t>
      </w:r>
      <w:r w:rsidR="00F63FFC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a more</w:t>
      </w:r>
      <w:r w:rsidR="008C30B5" w:rsidRPr="00AB5564">
        <w:rPr>
          <w:rFonts w:ascii="Arial" w:eastAsia="Times New Roman" w:hAnsi="Arial" w:cs="Arial"/>
          <w:color w:val="000000"/>
          <w:sz w:val="20"/>
          <w:szCs w:val="20"/>
        </w:rPr>
        <w:t xml:space="preserve"> comprehensive cost/benefit analysis </w:t>
      </w:r>
      <w:r w:rsidR="00F63FFC" w:rsidRPr="00AB5564">
        <w:rPr>
          <w:rFonts w:ascii="Arial" w:eastAsia="Times New Roman" w:hAnsi="Arial" w:cs="Arial"/>
          <w:color w:val="000000"/>
          <w:sz w:val="20"/>
          <w:szCs w:val="20"/>
        </w:rPr>
        <w:t>are warranted in order to better understand its clinical utility.</w:t>
      </w:r>
    </w:p>
    <w:p w:rsidR="00AB5564" w:rsidRDefault="00AB55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for parents on ADHD and on NEBA:</w:t>
      </w:r>
    </w:p>
    <w:p w:rsidR="00AB5564" w:rsidRPr="00AB5564" w:rsidRDefault="00221C2F" w:rsidP="00AB55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564">
        <w:rPr>
          <w:rFonts w:ascii="Arial" w:hAnsi="Arial" w:cs="Arial"/>
          <w:sz w:val="20"/>
          <w:szCs w:val="20"/>
        </w:rPr>
        <w:t xml:space="preserve">FDA press release regarding the NEBA System: </w:t>
      </w:r>
      <w:hyperlink r:id="rId6" w:history="1">
        <w:r w:rsidR="00AB5564" w:rsidRPr="00B84730">
          <w:rPr>
            <w:rStyle w:val="Hyperlink"/>
            <w:rFonts w:ascii="Arial" w:hAnsi="Arial" w:cs="Arial"/>
            <w:sz w:val="20"/>
            <w:szCs w:val="20"/>
          </w:rPr>
          <w:t>www.fda.gov/NewsEvents/Newsroom/PressAnnouncements/ucm360811.htm</w:t>
        </w:r>
      </w:hyperlink>
      <w:r w:rsidR="00AB5564" w:rsidRPr="00AB5564">
        <w:rPr>
          <w:rFonts w:ascii="Arial" w:hAnsi="Arial" w:cs="Arial"/>
          <w:b/>
          <w:sz w:val="20"/>
          <w:szCs w:val="20"/>
        </w:rPr>
        <w:br/>
      </w:r>
    </w:p>
    <w:p w:rsidR="00AB5564" w:rsidRPr="00AB5564" w:rsidRDefault="00790C2D" w:rsidP="00AB55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564">
        <w:rPr>
          <w:rFonts w:ascii="Arial" w:hAnsi="Arial" w:cs="Arial"/>
          <w:sz w:val="20"/>
          <w:szCs w:val="20"/>
        </w:rPr>
        <w:t xml:space="preserve">Children and Adults with ADHD (CHADD):  </w:t>
      </w:r>
      <w:hyperlink r:id="rId7" w:history="1">
        <w:r w:rsidR="00AB5564" w:rsidRPr="00B84730">
          <w:rPr>
            <w:rStyle w:val="Hyperlink"/>
            <w:rFonts w:ascii="Arial" w:hAnsi="Arial" w:cs="Arial"/>
            <w:sz w:val="20"/>
            <w:szCs w:val="20"/>
          </w:rPr>
          <w:t>www.chadd.org</w:t>
        </w:r>
      </w:hyperlink>
      <w:r w:rsidR="00AB5564">
        <w:rPr>
          <w:rFonts w:ascii="Arial" w:hAnsi="Arial" w:cs="Arial"/>
          <w:sz w:val="20"/>
          <w:szCs w:val="20"/>
        </w:rPr>
        <w:t xml:space="preserve"> </w:t>
      </w:r>
      <w:r w:rsidR="00AB5564" w:rsidRPr="00AB5564">
        <w:rPr>
          <w:rFonts w:ascii="Arial" w:hAnsi="Arial" w:cs="Arial"/>
          <w:b/>
          <w:sz w:val="20"/>
          <w:szCs w:val="20"/>
        </w:rPr>
        <w:br/>
      </w:r>
    </w:p>
    <w:p w:rsidR="00790C2D" w:rsidRPr="00AB5564" w:rsidRDefault="00790C2D" w:rsidP="00AB55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564">
        <w:rPr>
          <w:rFonts w:ascii="Arial" w:hAnsi="Arial" w:cs="Arial"/>
          <w:sz w:val="20"/>
          <w:szCs w:val="20"/>
        </w:rPr>
        <w:t xml:space="preserve">National Institute of Mental Health:  </w:t>
      </w:r>
      <w:hyperlink r:id="rId8" w:history="1">
        <w:r w:rsidR="00AB5564" w:rsidRPr="00B84730">
          <w:rPr>
            <w:rStyle w:val="Hyperlink"/>
            <w:rFonts w:ascii="Arial" w:hAnsi="Arial" w:cs="Arial"/>
            <w:sz w:val="20"/>
            <w:szCs w:val="20"/>
          </w:rPr>
          <w:t>www.nimh.nih.gov/health/topics/attention-deficit-hyperactivity-disorder-adhd/index.shtml#part5</w:t>
        </w:r>
      </w:hyperlink>
    </w:p>
    <w:p w:rsidR="00790C2D" w:rsidRPr="00AB5564" w:rsidRDefault="00AB5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790C2D" w:rsidRPr="00AB5564" w:rsidSect="009F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630F"/>
    <w:multiLevelType w:val="hybridMultilevel"/>
    <w:tmpl w:val="FB2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C32"/>
    <w:rsid w:val="001309A1"/>
    <w:rsid w:val="00221C2F"/>
    <w:rsid w:val="00273F35"/>
    <w:rsid w:val="002B2AE5"/>
    <w:rsid w:val="00382A49"/>
    <w:rsid w:val="0038534C"/>
    <w:rsid w:val="003F53CC"/>
    <w:rsid w:val="00475F32"/>
    <w:rsid w:val="004F68C2"/>
    <w:rsid w:val="00524D93"/>
    <w:rsid w:val="005A7CB8"/>
    <w:rsid w:val="005D77E6"/>
    <w:rsid w:val="00685676"/>
    <w:rsid w:val="006F4FA4"/>
    <w:rsid w:val="006F70EF"/>
    <w:rsid w:val="00790C2D"/>
    <w:rsid w:val="007C15C0"/>
    <w:rsid w:val="008C30B5"/>
    <w:rsid w:val="008E2DEA"/>
    <w:rsid w:val="00933BDE"/>
    <w:rsid w:val="0094063B"/>
    <w:rsid w:val="009F6C9E"/>
    <w:rsid w:val="00A2452D"/>
    <w:rsid w:val="00A32C9A"/>
    <w:rsid w:val="00AB5564"/>
    <w:rsid w:val="00B73C08"/>
    <w:rsid w:val="00C36EF8"/>
    <w:rsid w:val="00E16780"/>
    <w:rsid w:val="00EA7DDF"/>
    <w:rsid w:val="00F06C32"/>
    <w:rsid w:val="00F6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C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2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0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46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67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13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79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2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97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25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08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43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h.nih.gov/health/topics/attention-deficit-hyperactivity-disorder-adhd/index.shtml#part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.gov/NewsEvents/Newsroom/PressAnnouncements/ucm360811.htm" TargetMode="External"/><Relationship Id="rId5" Type="http://schemas.openxmlformats.org/officeDocument/2006/relationships/hyperlink" Target="http://www.foxnews.com/health/2013/07/16/fda-approves-first-brain-wave-test-for-adh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mrt28</dc:creator>
  <cp:lastModifiedBy>szinne</cp:lastModifiedBy>
  <cp:revision>3</cp:revision>
  <dcterms:created xsi:type="dcterms:W3CDTF">2013-07-28T20:53:00Z</dcterms:created>
  <dcterms:modified xsi:type="dcterms:W3CDTF">2013-07-31T18:16:00Z</dcterms:modified>
</cp:coreProperties>
</file>