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CB" w:rsidRPr="000C15CB" w:rsidRDefault="000C15CB" w:rsidP="00794A99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4136"/>
        <w:gridCol w:w="9904"/>
      </w:tblGrid>
      <w:tr w:rsidR="00830400" w:rsidRPr="00E02B98">
        <w:tc>
          <w:tcPr>
            <w:tcW w:w="14040" w:type="dxa"/>
            <w:gridSpan w:val="2"/>
            <w:shd w:val="clear" w:color="auto" w:fill="948A54" w:themeFill="background2" w:themeFillShade="80"/>
          </w:tcPr>
          <w:p w:rsidR="00830400" w:rsidRPr="00E02B98" w:rsidRDefault="00830400" w:rsidP="0043473D">
            <w:pPr>
              <w:rPr>
                <w:b/>
                <w:sz w:val="24"/>
                <w:szCs w:val="24"/>
              </w:rPr>
            </w:pPr>
          </w:p>
        </w:tc>
      </w:tr>
      <w:tr w:rsidR="002E652D" w:rsidTr="004700EF">
        <w:tc>
          <w:tcPr>
            <w:tcW w:w="4136" w:type="dxa"/>
            <w:vMerge w:val="restart"/>
          </w:tcPr>
          <w:p w:rsidR="002E652D" w:rsidRDefault="002E652D" w:rsidP="000868E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Interactive Teaching Methods</w:t>
            </w:r>
          </w:p>
          <w:p w:rsidR="002E652D" w:rsidRDefault="002E652D" w:rsidP="0043473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E652D" w:rsidRDefault="002E652D" w:rsidP="0043473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E652D" w:rsidRDefault="002E652D" w:rsidP="0043473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E652D" w:rsidRDefault="002E652D" w:rsidP="0043473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E652D" w:rsidRDefault="002E652D" w:rsidP="0043473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E652D" w:rsidRDefault="002E652D" w:rsidP="0043473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E652D" w:rsidRDefault="002E652D" w:rsidP="0043473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E652D" w:rsidRDefault="002E652D" w:rsidP="0043473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E652D" w:rsidRDefault="002E652D" w:rsidP="0043473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E652D" w:rsidRDefault="002E652D" w:rsidP="0043473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E652D" w:rsidRDefault="002E652D" w:rsidP="0043473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E652D" w:rsidRDefault="002E652D" w:rsidP="0043473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E652D" w:rsidRDefault="002E652D" w:rsidP="0043473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E652D" w:rsidRDefault="002E652D" w:rsidP="0043473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E652D" w:rsidRDefault="002E652D" w:rsidP="0043473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E652D" w:rsidRDefault="002E652D" w:rsidP="0043473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E652D" w:rsidRDefault="002E652D" w:rsidP="0043473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E652D" w:rsidRDefault="002E652D" w:rsidP="0043473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E652D" w:rsidRDefault="002E652D" w:rsidP="0043473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E652D" w:rsidRDefault="002E652D" w:rsidP="0043473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E652D" w:rsidRDefault="002E652D" w:rsidP="004347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E652D" w:rsidRDefault="002E652D" w:rsidP="004347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E652D" w:rsidRDefault="002E652D" w:rsidP="0043473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652D" w:rsidRDefault="002E652D" w:rsidP="0043473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652D" w:rsidRDefault="002E652D" w:rsidP="0043473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652D" w:rsidRDefault="002E652D" w:rsidP="0043473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652D" w:rsidRDefault="002E652D" w:rsidP="0043473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652D" w:rsidRDefault="002E652D" w:rsidP="0043473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652D" w:rsidRDefault="002E652D" w:rsidP="0043473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652D" w:rsidRDefault="002E652D" w:rsidP="0043473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652D" w:rsidRDefault="002E652D" w:rsidP="0043473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652D" w:rsidRDefault="002E652D" w:rsidP="0043473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652D" w:rsidRDefault="002E652D" w:rsidP="0043473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652D" w:rsidRDefault="002E652D" w:rsidP="0043473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652D" w:rsidRDefault="002E652D" w:rsidP="0043473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652D" w:rsidRDefault="002E652D" w:rsidP="0043473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652D" w:rsidRDefault="002E652D" w:rsidP="0043473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652D" w:rsidRDefault="002E652D" w:rsidP="0043473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652D" w:rsidRDefault="002E652D" w:rsidP="0043473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652D" w:rsidRDefault="002E652D" w:rsidP="0043473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652D" w:rsidRDefault="002E652D" w:rsidP="0043473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652D" w:rsidRDefault="002E652D" w:rsidP="0043473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652D" w:rsidRDefault="002E652D" w:rsidP="0043473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652D" w:rsidRDefault="002E652D" w:rsidP="0043473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652D" w:rsidRDefault="002E652D" w:rsidP="0043473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652D" w:rsidRDefault="002E652D" w:rsidP="0043473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652D" w:rsidRDefault="002E652D" w:rsidP="0043473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652D" w:rsidRDefault="002E652D" w:rsidP="0043473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652D" w:rsidRDefault="002E652D" w:rsidP="0043473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652D" w:rsidRDefault="002E652D" w:rsidP="0043473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652D" w:rsidRDefault="002E652D" w:rsidP="0043473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652D" w:rsidRDefault="002E652D" w:rsidP="0043473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674FA" w:rsidRDefault="00B674FA" w:rsidP="0043473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674FA" w:rsidRDefault="00B674FA" w:rsidP="0043473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674FA" w:rsidRDefault="00B674FA" w:rsidP="0043473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674FA" w:rsidRDefault="00B674FA" w:rsidP="0043473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674FA" w:rsidRDefault="00B674FA" w:rsidP="0043473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674FA" w:rsidRDefault="00B674FA" w:rsidP="0043473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674FA" w:rsidRDefault="00B674FA" w:rsidP="0043473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674FA" w:rsidRDefault="00B674FA" w:rsidP="0043473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674FA" w:rsidRDefault="00B674FA" w:rsidP="0043473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674FA" w:rsidRDefault="00B674FA" w:rsidP="0043473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674FA" w:rsidRDefault="00B674FA" w:rsidP="0043473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674FA" w:rsidRDefault="00B674FA" w:rsidP="0043473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674FA" w:rsidRDefault="00B674FA" w:rsidP="0043473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674FA" w:rsidRDefault="00B674FA" w:rsidP="0043473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674FA" w:rsidRDefault="00B674FA" w:rsidP="0043473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652D" w:rsidRDefault="002E652D" w:rsidP="0043473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652D" w:rsidRDefault="002E652D" w:rsidP="0043473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652D" w:rsidRDefault="002E652D" w:rsidP="0043473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652D" w:rsidRDefault="002E652D" w:rsidP="0043473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Adapted from:</w:t>
            </w:r>
            <w:r w:rsidRPr="00964CB1">
              <w:rPr>
                <w:rFonts w:asciiTheme="majorHAnsi" w:hAnsiTheme="majorHAnsi"/>
                <w:sz w:val="16"/>
                <w:szCs w:val="16"/>
              </w:rPr>
              <w:t xml:space="preserve"> The Interactive Lecture, An Instructor’s Manual, Office of Medical Student Education, University of Arizona, College of Medicine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; </w:t>
            </w:r>
          </w:p>
          <w:p w:rsidR="002E652D" w:rsidRDefault="002E652D" w:rsidP="0043473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652D" w:rsidRDefault="002E652D" w:rsidP="0043473D">
            <w:pPr>
              <w:rPr>
                <w:rFonts w:asciiTheme="majorHAnsi" w:hAnsiTheme="majorHAnsi"/>
                <w:sz w:val="16"/>
                <w:szCs w:val="16"/>
              </w:rPr>
            </w:pPr>
            <w:r w:rsidRPr="00862A2C">
              <w:rPr>
                <w:rFonts w:asciiTheme="majorHAnsi" w:hAnsiTheme="majorHAnsi"/>
                <w:sz w:val="16"/>
                <w:szCs w:val="16"/>
              </w:rPr>
              <w:t>UW-Madison Teaching Academy, Office of the Vice Provost for Teaching &amp; Learning, and DoIT Academic Technology</w:t>
            </w:r>
          </w:p>
          <w:p w:rsidR="002E652D" w:rsidRDefault="002E652D" w:rsidP="0043473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652D" w:rsidRPr="00862A2C" w:rsidRDefault="002E652D" w:rsidP="0043473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Bleason, BL, Peeters, MJ, Resman-Targoff, BH et al. An Active-Learning Strategies Primer for Achieving Ability Based Educational Outcomes. American Journal of Pharmaceutical Education 2011; 75 (9)Article 186.</w:t>
            </w:r>
          </w:p>
        </w:tc>
        <w:tc>
          <w:tcPr>
            <w:tcW w:w="9904" w:type="dxa"/>
          </w:tcPr>
          <w:p w:rsidR="002E652D" w:rsidRPr="00982721" w:rsidRDefault="002E652D" w:rsidP="00E9018D">
            <w:pPr>
              <w:rPr>
                <w:b/>
              </w:rPr>
            </w:pPr>
            <w:r w:rsidRPr="00982721">
              <w:rPr>
                <w:b/>
              </w:rPr>
              <w:lastRenderedPageBreak/>
              <w:t>Knowledge Probe</w:t>
            </w:r>
          </w:p>
          <w:p w:rsidR="002E652D" w:rsidRPr="004E2C32" w:rsidRDefault="002E652D" w:rsidP="00861C85">
            <w:pPr>
              <w:pStyle w:val="ListParagraph"/>
              <w:numPr>
                <w:ilvl w:val="0"/>
                <w:numId w:val="1"/>
              </w:numPr>
            </w:pPr>
            <w:r>
              <w:t xml:space="preserve">Prepare 2-3 short-answer questions or </w:t>
            </w:r>
            <w:r w:rsidR="00861C85">
              <w:t>5 multiple-choice questions based on your presentation topic</w:t>
            </w:r>
            <w:r>
              <w:t xml:space="preserve">.  Have </w:t>
            </w:r>
            <w:r w:rsidR="00861C85">
              <w:t>learners</w:t>
            </w:r>
            <w:r>
              <w:t xml:space="preserve"> work in pairs or </w:t>
            </w:r>
            <w:r w:rsidR="00861C85">
              <w:t>alone</w:t>
            </w:r>
            <w:r>
              <w:t xml:space="preserve"> to answer the questions, have them save their answers.  The questions can be readdressed in a mid-lecture or end-of lecture activity (case that applies the concepts) to help </w:t>
            </w:r>
            <w:r w:rsidR="00861C85">
              <w:t>learners</w:t>
            </w:r>
            <w:r>
              <w:t xml:space="preserve"> see how their knowledge and understanding has increased.</w:t>
            </w:r>
            <w:r w:rsidR="00861C85">
              <w:t xml:space="preserve"> Posing questions at the start of a lecture can stimulate thinking about the content you will present and primes the mind to apply concepts.  </w:t>
            </w:r>
          </w:p>
        </w:tc>
      </w:tr>
      <w:tr w:rsidR="002E652D" w:rsidTr="004700EF">
        <w:tc>
          <w:tcPr>
            <w:tcW w:w="4136" w:type="dxa"/>
            <w:vMerge/>
          </w:tcPr>
          <w:p w:rsidR="002E652D" w:rsidRDefault="002E652D" w:rsidP="004347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04" w:type="dxa"/>
          </w:tcPr>
          <w:p w:rsidR="002E652D" w:rsidRDefault="002E652D" w:rsidP="00027356">
            <w:pPr>
              <w:rPr>
                <w:b/>
              </w:rPr>
            </w:pPr>
            <w:r>
              <w:rPr>
                <w:b/>
              </w:rPr>
              <w:t xml:space="preserve">Think-Pair-Share </w:t>
            </w:r>
          </w:p>
          <w:p w:rsidR="002E652D" w:rsidRPr="00960087" w:rsidRDefault="002E652D" w:rsidP="00553ACF">
            <w:pPr>
              <w:pStyle w:val="ListParagraph"/>
              <w:numPr>
                <w:ilvl w:val="0"/>
                <w:numId w:val="1"/>
              </w:numPr>
            </w:pPr>
            <w:r w:rsidRPr="004E2C32">
              <w:t xml:space="preserve">Pose a question/problem. </w:t>
            </w:r>
            <w:r w:rsidR="00553ACF">
              <w:t>Learners</w:t>
            </w:r>
            <w:r w:rsidRPr="004E2C32">
              <w:t xml:space="preserve"> spend 1-2 minutes thinking about the problem alone</w:t>
            </w:r>
            <w:r>
              <w:t xml:space="preserve"> then</w:t>
            </w:r>
            <w:r w:rsidRPr="004E2C32">
              <w:t xml:space="preserve"> </w:t>
            </w:r>
            <w:r w:rsidR="00553ACF">
              <w:t>pair up to discuss</w:t>
            </w:r>
            <w:r w:rsidRPr="004E2C32">
              <w:t xml:space="preserve">.  </w:t>
            </w:r>
            <w:r w:rsidR="00553ACF">
              <w:t>Ask p</w:t>
            </w:r>
            <w:r w:rsidRPr="004E2C32">
              <w:t xml:space="preserve">airs to report to the entire class.  Works well in large and small classroom settings at any time during the class. </w:t>
            </w:r>
            <w:r w:rsidR="00553ACF">
              <w:t>Promotes learner involvement</w:t>
            </w:r>
            <w:r w:rsidRPr="004E2C32">
              <w:t>, e</w:t>
            </w:r>
            <w:r w:rsidR="00553ACF">
              <w:t>ven</w:t>
            </w:r>
            <w:r w:rsidRPr="004E2C32">
              <w:t xml:space="preserve"> those apprehensive about speaking up. </w:t>
            </w:r>
            <w:r>
              <w:t>P</w:t>
            </w:r>
            <w:r w:rsidRPr="004E2C32">
              <w:t xml:space="preserve">rovides instructor feedback </w:t>
            </w:r>
            <w:r w:rsidR="00553ACF">
              <w:t xml:space="preserve">about </w:t>
            </w:r>
            <w:r w:rsidRPr="004E2C32">
              <w:t>what learners</w:t>
            </w:r>
            <w:r w:rsidR="00553ACF">
              <w:t xml:space="preserve"> have/haven’</w:t>
            </w:r>
            <w:r w:rsidRPr="004E2C32">
              <w:t>t grasped.</w:t>
            </w:r>
          </w:p>
        </w:tc>
      </w:tr>
      <w:tr w:rsidR="002E652D" w:rsidTr="004700EF">
        <w:tc>
          <w:tcPr>
            <w:tcW w:w="4136" w:type="dxa"/>
            <w:vMerge/>
          </w:tcPr>
          <w:p w:rsidR="002E652D" w:rsidRDefault="002E652D" w:rsidP="004347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04" w:type="dxa"/>
          </w:tcPr>
          <w:p w:rsidR="002E652D" w:rsidRDefault="002E652D" w:rsidP="00027356">
            <w:pPr>
              <w:rPr>
                <w:b/>
              </w:rPr>
            </w:pPr>
            <w:r>
              <w:rPr>
                <w:b/>
              </w:rPr>
              <w:t>Pause and Clarify</w:t>
            </w:r>
          </w:p>
          <w:p w:rsidR="002E652D" w:rsidRPr="00A3055B" w:rsidRDefault="002E652D" w:rsidP="00027356">
            <w:pPr>
              <w:pStyle w:val="ListParagraph"/>
              <w:numPr>
                <w:ilvl w:val="0"/>
                <w:numId w:val="4"/>
              </w:numPr>
            </w:pPr>
            <w:r w:rsidRPr="00960087">
              <w:t xml:space="preserve">Ask learners to discuss idea with neighbor. </w:t>
            </w:r>
            <w:r>
              <w:t>Pause lecture</w:t>
            </w:r>
            <w:r w:rsidRPr="00960087">
              <w:t xml:space="preserve"> for 2 minutes while </w:t>
            </w:r>
            <w:r>
              <w:t>learners</w:t>
            </w:r>
            <w:r w:rsidRPr="00960087">
              <w:t xml:space="preserve"> chat </w:t>
            </w:r>
            <w:r>
              <w:t>with neighbo</w:t>
            </w:r>
            <w:r w:rsidRPr="00960087">
              <w:t>r</w:t>
            </w:r>
            <w:r>
              <w:t>s</w:t>
            </w:r>
            <w:r w:rsidRPr="00960087">
              <w:t xml:space="preserve"> about their respective understanding of key </w:t>
            </w:r>
            <w:r>
              <w:t>or difficult conceptual content.</w:t>
            </w:r>
            <w:r w:rsidRPr="00960087">
              <w:t xml:space="preserve"> </w:t>
            </w:r>
            <w:r>
              <w:t>Aim is</w:t>
            </w:r>
            <w:r w:rsidRPr="00960087">
              <w:t xml:space="preserve"> for each student to clarify their own understanding by comparing their perspective with that of their partner. </w:t>
            </w:r>
            <w:r>
              <w:t xml:space="preserve">Works best when teacher asks </w:t>
            </w:r>
            <w:r w:rsidRPr="00960087">
              <w:t xml:space="preserve">question </w:t>
            </w:r>
            <w:r>
              <w:t>requiring</w:t>
            </w:r>
            <w:r w:rsidRPr="00960087">
              <w:t xml:space="preserve"> </w:t>
            </w:r>
            <w:r>
              <w:t>application of</w:t>
            </w:r>
            <w:r w:rsidRPr="00960087">
              <w:t xml:space="preserve"> understanding, rather than simply recall </w:t>
            </w:r>
            <w:r>
              <w:t>of</w:t>
            </w:r>
            <w:r w:rsidRPr="00960087">
              <w:t xml:space="preserve"> information.</w:t>
            </w:r>
          </w:p>
        </w:tc>
      </w:tr>
      <w:tr w:rsidR="002E652D" w:rsidTr="004700EF">
        <w:tc>
          <w:tcPr>
            <w:tcW w:w="4136" w:type="dxa"/>
            <w:vMerge/>
          </w:tcPr>
          <w:p w:rsidR="002E652D" w:rsidRDefault="002E652D" w:rsidP="004347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04" w:type="dxa"/>
          </w:tcPr>
          <w:p w:rsidR="002E652D" w:rsidRDefault="002E652D" w:rsidP="00027356">
            <w:pPr>
              <w:rPr>
                <w:b/>
              </w:rPr>
            </w:pPr>
            <w:r>
              <w:rPr>
                <w:b/>
              </w:rPr>
              <w:t>Quick Think</w:t>
            </w:r>
          </w:p>
          <w:p w:rsidR="002E652D" w:rsidRPr="00D524AB" w:rsidRDefault="002E652D" w:rsidP="00F4022B">
            <w:pPr>
              <w:pStyle w:val="ListParagraph"/>
              <w:numPr>
                <w:ilvl w:val="0"/>
                <w:numId w:val="4"/>
              </w:numPr>
            </w:pPr>
            <w:r w:rsidRPr="002251BD">
              <w:t xml:space="preserve">Every </w:t>
            </w:r>
            <w:r w:rsidR="00F23401">
              <w:t>10-</w:t>
            </w:r>
            <w:r>
              <w:t>15</w:t>
            </w:r>
            <w:r w:rsidRPr="002251BD">
              <w:t xml:space="preserve"> minutes </w:t>
            </w:r>
            <w:r>
              <w:t>insert a “quick think” exercise to increase</w:t>
            </w:r>
            <w:r w:rsidRPr="002251BD">
              <w:t xml:space="preserve"> attention, interest, </w:t>
            </w:r>
            <w:r w:rsidR="00F23401">
              <w:t xml:space="preserve">&amp; </w:t>
            </w:r>
            <w:r w:rsidRPr="002251BD">
              <w:t>learnin</w:t>
            </w:r>
            <w:r w:rsidR="00F23401">
              <w:t>g. Participation options vary: learners</w:t>
            </w:r>
            <w:r w:rsidRPr="002251BD">
              <w:t xml:space="preserve"> can record responses individually </w:t>
            </w:r>
            <w:r w:rsidR="00F23401">
              <w:t>&amp;</w:t>
            </w:r>
            <w:r w:rsidRPr="002251BD">
              <w:t xml:space="preserve"> then explain their answers to a neighbor, they can verbally generate an answer with a neighbor, or they can be asked to silently think about a possible response. </w:t>
            </w:r>
            <w:r>
              <w:t>Provide</w:t>
            </w:r>
            <w:r w:rsidRPr="002251BD">
              <w:t xml:space="preserve"> feedback so students can hear or share correct or possible answers.</w:t>
            </w:r>
            <w:r>
              <w:t xml:space="preserve"> </w:t>
            </w:r>
            <w:r w:rsidR="00F4022B">
              <w:t>Examples include: s</w:t>
            </w:r>
            <w:r>
              <w:t>elect the best answer, correct the error, complete a sentence starter, compare or contrast, support a statement, re-order the steps, reach a conclusion, paraphrase the idea.</w:t>
            </w:r>
          </w:p>
        </w:tc>
      </w:tr>
      <w:tr w:rsidR="002E652D" w:rsidTr="004700EF">
        <w:tc>
          <w:tcPr>
            <w:tcW w:w="4136" w:type="dxa"/>
            <w:vMerge/>
          </w:tcPr>
          <w:p w:rsidR="002E652D" w:rsidRDefault="002E652D" w:rsidP="004347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04" w:type="dxa"/>
          </w:tcPr>
          <w:p w:rsidR="002E652D" w:rsidRPr="00D22630" w:rsidRDefault="002E652D" w:rsidP="007365A0">
            <w:pPr>
              <w:rPr>
                <w:b/>
              </w:rPr>
            </w:pPr>
            <w:r>
              <w:rPr>
                <w:b/>
              </w:rPr>
              <w:t>Mini-</w:t>
            </w:r>
            <w:r w:rsidRPr="00D22630">
              <w:rPr>
                <w:b/>
              </w:rPr>
              <w:t>Case</w:t>
            </w:r>
          </w:p>
          <w:p w:rsidR="00AA0324" w:rsidRDefault="002E652D" w:rsidP="00AA0324">
            <w:pPr>
              <w:pStyle w:val="ListParagraph"/>
              <w:numPr>
                <w:ilvl w:val="0"/>
                <w:numId w:val="4"/>
              </w:numPr>
            </w:pPr>
            <w:r>
              <w:t>Begin the lecture with a realistic case involving the concepts that will be discussed that day.  Include a brief question that requires the application of key concepts.  Students will each work on the question then report their answers when called upon.  Mini-cases are more effective when students are presented the case beforehand (in notes, at the end of previous session or as pre-class material).</w:t>
            </w:r>
          </w:p>
          <w:p w:rsidR="00AA0324" w:rsidRDefault="00AA0324" w:rsidP="00AA0324"/>
          <w:p w:rsidR="00AA0324" w:rsidRPr="00D524AB" w:rsidRDefault="00AA0324" w:rsidP="00AA0324"/>
        </w:tc>
      </w:tr>
      <w:tr w:rsidR="002E652D" w:rsidTr="004700EF">
        <w:tc>
          <w:tcPr>
            <w:tcW w:w="4136" w:type="dxa"/>
            <w:vMerge/>
          </w:tcPr>
          <w:p w:rsidR="002E652D" w:rsidRDefault="002E652D" w:rsidP="004347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04" w:type="dxa"/>
          </w:tcPr>
          <w:p w:rsidR="002E652D" w:rsidRDefault="002E652D" w:rsidP="007365A0">
            <w:pPr>
              <w:rPr>
                <w:b/>
              </w:rPr>
            </w:pPr>
            <w:r>
              <w:rPr>
                <w:b/>
              </w:rPr>
              <w:t>Socratic Questioning</w:t>
            </w:r>
          </w:p>
          <w:p w:rsidR="002E652D" w:rsidRPr="002251BD" w:rsidRDefault="002E652D" w:rsidP="000B31C7">
            <w:pPr>
              <w:pStyle w:val="ListParagraph"/>
              <w:numPr>
                <w:ilvl w:val="0"/>
                <w:numId w:val="4"/>
              </w:numPr>
            </w:pPr>
            <w:r>
              <w:t>Query</w:t>
            </w:r>
            <w:r w:rsidRPr="00D524AB">
              <w:t xml:space="preserve"> </w:t>
            </w:r>
            <w:r w:rsidR="000B31C7">
              <w:t>learners</w:t>
            </w:r>
            <w:r w:rsidRPr="00D524AB">
              <w:t xml:space="preserve"> in </w:t>
            </w:r>
            <w:r w:rsidR="000B31C7">
              <w:t xml:space="preserve">a </w:t>
            </w:r>
            <w:r w:rsidRPr="00D524AB">
              <w:t>manner that helps them uncover answer</w:t>
            </w:r>
            <w:r>
              <w:t>s</w:t>
            </w:r>
            <w:r w:rsidRPr="00D524AB">
              <w:t xml:space="preserve">. </w:t>
            </w:r>
            <w:r>
              <w:t>Ask learners about thought process, probe assumptions, and ask for</w:t>
            </w:r>
            <w:r w:rsidRPr="00D524AB">
              <w:t xml:space="preserve"> evidence. Can be used in large and small classes, but </w:t>
            </w:r>
            <w:r>
              <w:t>learning climate guidelines must be established: respect all around; non-judgmental attitudes</w:t>
            </w:r>
            <w:r w:rsidRPr="00D524AB">
              <w:t>.</w:t>
            </w:r>
          </w:p>
        </w:tc>
      </w:tr>
      <w:tr w:rsidR="002E652D" w:rsidTr="004700EF">
        <w:tc>
          <w:tcPr>
            <w:tcW w:w="4136" w:type="dxa"/>
            <w:vMerge/>
          </w:tcPr>
          <w:p w:rsidR="002E652D" w:rsidRPr="00964CB1" w:rsidRDefault="002E652D" w:rsidP="0043473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4" w:type="dxa"/>
          </w:tcPr>
          <w:p w:rsidR="002E652D" w:rsidRDefault="002E652D" w:rsidP="000D154C">
            <w:pPr>
              <w:rPr>
                <w:b/>
              </w:rPr>
            </w:pPr>
            <w:r>
              <w:rPr>
                <w:b/>
              </w:rPr>
              <w:t>Minute Writes</w:t>
            </w:r>
          </w:p>
          <w:p w:rsidR="002E652D" w:rsidRDefault="002E652D" w:rsidP="000D154C">
            <w:pPr>
              <w:pStyle w:val="ListParagraph"/>
              <w:numPr>
                <w:ilvl w:val="0"/>
                <w:numId w:val="1"/>
              </w:numPr>
            </w:pPr>
            <w:r w:rsidRPr="00A3055B">
              <w:t xml:space="preserve">Pose </w:t>
            </w:r>
            <w:r>
              <w:t>a</w:t>
            </w:r>
            <w:r w:rsidRPr="00A3055B">
              <w:t xml:space="preserve"> question </w:t>
            </w:r>
            <w:r>
              <w:t xml:space="preserve">about </w:t>
            </w:r>
            <w:r w:rsidRPr="00A3055B">
              <w:t xml:space="preserve">a course concept; ask learners to write a response in 1-2 minutes. Collect responses </w:t>
            </w:r>
            <w:r>
              <w:t>&amp;</w:t>
            </w:r>
            <w:r w:rsidRPr="00A3055B">
              <w:t xml:space="preserve"> without revealing names, share sample responses </w:t>
            </w:r>
            <w:r>
              <w:t xml:space="preserve">&amp; </w:t>
            </w:r>
            <w:r w:rsidRPr="00A3055B">
              <w:t>give feedback. Works in large or small settings; effective technique for determining learner progress – understanding course material, reaction to course material.</w:t>
            </w:r>
          </w:p>
        </w:tc>
      </w:tr>
      <w:tr w:rsidR="002E652D" w:rsidTr="004700EF">
        <w:tc>
          <w:tcPr>
            <w:tcW w:w="4136" w:type="dxa"/>
            <w:vMerge/>
          </w:tcPr>
          <w:p w:rsidR="002E652D" w:rsidRDefault="002E652D" w:rsidP="004347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04" w:type="dxa"/>
          </w:tcPr>
          <w:p w:rsidR="002E652D" w:rsidRDefault="002E652D" w:rsidP="000D154C">
            <w:pPr>
              <w:rPr>
                <w:b/>
              </w:rPr>
            </w:pPr>
            <w:r>
              <w:rPr>
                <w:b/>
              </w:rPr>
              <w:t>Muddiest Point</w:t>
            </w:r>
          </w:p>
          <w:p w:rsidR="002E652D" w:rsidRDefault="000B31C7" w:rsidP="00AC20C2">
            <w:pPr>
              <w:pStyle w:val="ListParagraph"/>
              <w:numPr>
                <w:ilvl w:val="0"/>
                <w:numId w:val="1"/>
              </w:numPr>
            </w:pPr>
            <w:r>
              <w:t>Give</w:t>
            </w:r>
            <w:r w:rsidR="002E652D" w:rsidRPr="00D524AB">
              <w:t xml:space="preserve"> </w:t>
            </w:r>
            <w:r>
              <w:t>learners</w:t>
            </w:r>
            <w:r w:rsidR="002E652D" w:rsidRPr="00D524AB">
              <w:t xml:space="preserve"> a couple of minutes to </w:t>
            </w:r>
            <w:r>
              <w:t>jot down a response to the question: What was</w:t>
            </w:r>
            <w:r w:rsidR="002E652D" w:rsidRPr="00D524AB">
              <w:t xml:space="preserve"> the “muddiest point” </w:t>
            </w:r>
            <w:r>
              <w:t>in the presentation, discussion, etc</w:t>
            </w:r>
            <w:r w:rsidR="002E652D" w:rsidRPr="00D524AB">
              <w:t xml:space="preserve">.  </w:t>
            </w:r>
            <w:r>
              <w:t>Or, “what questions do you still have about today’s presentation?” P</w:t>
            </w:r>
            <w:r w:rsidR="002E652D" w:rsidRPr="00D524AB">
              <w:t xml:space="preserve">rovide clarification in real time or </w:t>
            </w:r>
            <w:r>
              <w:t>online</w:t>
            </w:r>
            <w:r w:rsidR="002E652D" w:rsidRPr="00D524AB">
              <w:t>.</w:t>
            </w:r>
            <w:r>
              <w:t xml:space="preserve"> </w:t>
            </w:r>
            <w:r w:rsidR="00AC20C2">
              <w:t>Promotes reflection, i.d. of difficulties.</w:t>
            </w:r>
          </w:p>
        </w:tc>
      </w:tr>
      <w:tr w:rsidR="002E652D" w:rsidTr="004700EF">
        <w:tc>
          <w:tcPr>
            <w:tcW w:w="4136" w:type="dxa"/>
            <w:vMerge/>
          </w:tcPr>
          <w:p w:rsidR="002E652D" w:rsidRDefault="002E652D" w:rsidP="004347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04" w:type="dxa"/>
          </w:tcPr>
          <w:p w:rsidR="002E652D" w:rsidRPr="003A0E61" w:rsidRDefault="002E652D" w:rsidP="00E9018D">
            <w:pPr>
              <w:rPr>
                <w:b/>
              </w:rPr>
            </w:pPr>
            <w:r w:rsidRPr="003A0E61">
              <w:rPr>
                <w:b/>
              </w:rPr>
              <w:t>Critical Thinking Activity</w:t>
            </w:r>
          </w:p>
          <w:p w:rsidR="002E652D" w:rsidRDefault="002E652D" w:rsidP="00E9018D">
            <w:pPr>
              <w:pStyle w:val="ListParagraph"/>
              <w:numPr>
                <w:ilvl w:val="0"/>
                <w:numId w:val="3"/>
              </w:numPr>
            </w:pPr>
            <w:r>
              <w:t>Provide a small group breakout session designed around a thought provoking question/case that concerns the material just presented and/or builds upon concepts presented in previous lectures. After breakout, select a student from a group to respond to the question or task.  Then ask others to participate by adding to the case.  Finish session by providing a summary</w:t>
            </w:r>
          </w:p>
        </w:tc>
      </w:tr>
      <w:tr w:rsidR="002E652D" w:rsidRPr="00982721" w:rsidTr="004700EF">
        <w:tc>
          <w:tcPr>
            <w:tcW w:w="4136" w:type="dxa"/>
            <w:vMerge/>
          </w:tcPr>
          <w:p w:rsidR="002E652D" w:rsidRDefault="002E652D" w:rsidP="004347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04" w:type="dxa"/>
          </w:tcPr>
          <w:p w:rsidR="002E652D" w:rsidRPr="00A128C7" w:rsidRDefault="002E652D" w:rsidP="00A128C7">
            <w:pPr>
              <w:rPr>
                <w:b/>
              </w:rPr>
            </w:pPr>
            <w:r w:rsidRPr="00A128C7">
              <w:rPr>
                <w:b/>
              </w:rPr>
              <w:t>Jigsaw Learning Activity</w:t>
            </w:r>
          </w:p>
          <w:p w:rsidR="002E652D" w:rsidRPr="00982721" w:rsidRDefault="002E652D" w:rsidP="00AC6E5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Jigsaw learning requires that </w:t>
            </w:r>
            <w:r w:rsidR="00AC6E56">
              <w:t>learners</w:t>
            </w:r>
            <w:r>
              <w:t xml:space="preserve"> become experts in a subject area and then teach that topic to peers who have become experts in other topics. Steps: 1) divide class into small groups of 4 to 6 students. 2) Assign each group a subject area to learn. 3) Rearrange groups so that there is 1 expert in each group.  Experts reciprocally teach their peers. </w:t>
            </w:r>
          </w:p>
        </w:tc>
      </w:tr>
      <w:tr w:rsidR="002E652D" w:rsidRPr="00982721" w:rsidTr="004700EF">
        <w:tc>
          <w:tcPr>
            <w:tcW w:w="4136" w:type="dxa"/>
            <w:vMerge/>
          </w:tcPr>
          <w:p w:rsidR="002E652D" w:rsidRDefault="002E652D" w:rsidP="004347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04" w:type="dxa"/>
          </w:tcPr>
          <w:p w:rsidR="002E652D" w:rsidRDefault="002E652D" w:rsidP="00A128C7">
            <w:pPr>
              <w:rPr>
                <w:b/>
              </w:rPr>
            </w:pPr>
            <w:r>
              <w:rPr>
                <w:b/>
              </w:rPr>
              <w:t>Pass the Pointer</w:t>
            </w:r>
          </w:p>
          <w:p w:rsidR="002E652D" w:rsidRPr="00A128C7" w:rsidRDefault="002E652D" w:rsidP="001F07A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1F07A2">
              <w:t>Place a complex, intricate or detailed image on the screen (board) and ask for volunteers to temporarily borrow the (laser) pointer to identify key features or ask questions about items they don’t understand.</w:t>
            </w:r>
            <w:r w:rsidR="00CF4266">
              <w:t xml:space="preserve"> Provides insight into group knowledge and learner understanding.</w:t>
            </w:r>
          </w:p>
        </w:tc>
      </w:tr>
      <w:tr w:rsidR="002E652D" w:rsidRPr="00982721" w:rsidTr="004700EF">
        <w:tc>
          <w:tcPr>
            <w:tcW w:w="4136" w:type="dxa"/>
            <w:vMerge/>
          </w:tcPr>
          <w:p w:rsidR="002E652D" w:rsidRDefault="002E652D" w:rsidP="004347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04" w:type="dxa"/>
          </w:tcPr>
          <w:p w:rsidR="002E652D" w:rsidRPr="0013472D" w:rsidRDefault="002E652D" w:rsidP="0013472D">
            <w:pPr>
              <w:rPr>
                <w:b/>
              </w:rPr>
            </w:pPr>
            <w:r w:rsidRPr="0013472D">
              <w:rPr>
                <w:b/>
              </w:rPr>
              <w:t>Teach Back Process</w:t>
            </w:r>
          </w:p>
          <w:p w:rsidR="002E652D" w:rsidRPr="0013472D" w:rsidRDefault="00B75ED0" w:rsidP="00B75ED0">
            <w:pPr>
              <w:pStyle w:val="ListParagraph"/>
              <w:numPr>
                <w:ilvl w:val="0"/>
                <w:numId w:val="3"/>
              </w:numPr>
            </w:pPr>
            <w:r>
              <w:t>Learners asked</w:t>
            </w:r>
            <w:r w:rsidR="002E652D" w:rsidRPr="0013472D">
              <w:t xml:space="preserve"> to explain their understanding of topic</w:t>
            </w:r>
            <w:r>
              <w:t>s</w:t>
            </w:r>
            <w:r w:rsidR="002E652D" w:rsidRPr="0013472D">
              <w:t>/concept</w:t>
            </w:r>
            <w:r>
              <w:t>s</w:t>
            </w:r>
            <w:r w:rsidR="002E652D" w:rsidRPr="0013472D">
              <w:t xml:space="preserve"> or </w:t>
            </w:r>
            <w:r>
              <w:t>to demonstrate and explain a technique.</w:t>
            </w:r>
            <w:r w:rsidR="002E652D" w:rsidRPr="0013472D">
              <w:t xml:space="preserve"> Instructor (or </w:t>
            </w:r>
            <w:r>
              <w:t>learner</w:t>
            </w:r>
            <w:r w:rsidR="002E652D" w:rsidRPr="0013472D">
              <w:t>) then follow</w:t>
            </w:r>
            <w:r>
              <w:t>s</w:t>
            </w:r>
            <w:r w:rsidR="002E652D" w:rsidRPr="0013472D">
              <w:t xml:space="preserve"> up using open-ended questions to assess the learner’s understanding and/or ability to transfer that understanding to a related but new topic.  It is an iterative process: “teach back, open-ended questions, address misconceptions, and then “teach back” again.</w:t>
            </w:r>
          </w:p>
        </w:tc>
      </w:tr>
    </w:tbl>
    <w:p w:rsidR="009B19DB" w:rsidRDefault="004700EF">
      <w:r>
        <w:br w:type="page"/>
      </w:r>
    </w:p>
    <w:tbl>
      <w:tblPr>
        <w:tblStyle w:val="TableGrid"/>
        <w:tblW w:w="0" w:type="auto"/>
        <w:tblLook w:val="04A0"/>
      </w:tblPr>
      <w:tblGrid>
        <w:gridCol w:w="4136"/>
        <w:gridCol w:w="9904"/>
      </w:tblGrid>
      <w:tr w:rsidR="005E6689" w:rsidRPr="00E02B98" w:rsidTr="00C84EC6">
        <w:tc>
          <w:tcPr>
            <w:tcW w:w="14040" w:type="dxa"/>
            <w:gridSpan w:val="2"/>
            <w:shd w:val="clear" w:color="auto" w:fill="948A54" w:themeFill="background2" w:themeFillShade="80"/>
          </w:tcPr>
          <w:p w:rsidR="005E6689" w:rsidRPr="00E02B98" w:rsidRDefault="005E6689" w:rsidP="00C84EC6">
            <w:pPr>
              <w:rPr>
                <w:b/>
                <w:sz w:val="24"/>
                <w:szCs w:val="24"/>
              </w:rPr>
            </w:pPr>
          </w:p>
        </w:tc>
      </w:tr>
      <w:tr w:rsidR="00830400" w:rsidTr="004700EF">
        <w:tc>
          <w:tcPr>
            <w:tcW w:w="4136" w:type="dxa"/>
          </w:tcPr>
          <w:p w:rsidR="005B3A34" w:rsidRDefault="005B3A34" w:rsidP="004347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30400" w:rsidRDefault="00830400" w:rsidP="0043473D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CF4266" w:rsidRDefault="00CF4266" w:rsidP="0043473D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CF4266" w:rsidRDefault="00CF4266" w:rsidP="0043473D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CF4266" w:rsidRDefault="00CF4266" w:rsidP="0043473D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CF4266" w:rsidRDefault="00CF4266" w:rsidP="0043473D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CF4266" w:rsidRDefault="00CF4266" w:rsidP="0043473D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CF4266" w:rsidRDefault="00CF4266" w:rsidP="0043473D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CF4266" w:rsidRDefault="00CF4266" w:rsidP="0043473D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CF4266" w:rsidRDefault="00CF4266" w:rsidP="0043473D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30400" w:rsidRDefault="00830400" w:rsidP="0043473D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30400" w:rsidRDefault="00830400" w:rsidP="0043473D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30400" w:rsidRDefault="00830400" w:rsidP="0043473D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30400" w:rsidRDefault="00830400" w:rsidP="0043473D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30400" w:rsidRDefault="00830400" w:rsidP="0043473D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30400" w:rsidRDefault="00830400" w:rsidP="0043473D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351DF" w:rsidRDefault="006351DF" w:rsidP="0043473D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351DF" w:rsidRDefault="006351DF" w:rsidP="0043473D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351DF" w:rsidRDefault="006351DF" w:rsidP="0043473D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351DF" w:rsidRDefault="006351DF" w:rsidP="0043473D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351DF" w:rsidRDefault="006351DF" w:rsidP="0043473D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351DF" w:rsidRDefault="006351DF" w:rsidP="0043473D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351DF" w:rsidRDefault="006351DF" w:rsidP="0043473D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351DF" w:rsidRDefault="006351DF" w:rsidP="0043473D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351DF" w:rsidRDefault="006351DF" w:rsidP="0043473D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351DF" w:rsidRDefault="006351DF" w:rsidP="0043473D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351DF" w:rsidRDefault="006351DF" w:rsidP="0043473D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30400" w:rsidRDefault="00830400" w:rsidP="0043473D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3450" w:rsidRDefault="00333450" w:rsidP="0043473D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30400" w:rsidRDefault="00830400" w:rsidP="0043473D">
            <w:pPr>
              <w:rPr>
                <w:rFonts w:asciiTheme="majorHAnsi" w:hAnsiTheme="majorHAnsi"/>
                <w:sz w:val="18"/>
                <w:szCs w:val="18"/>
              </w:rPr>
            </w:pPr>
            <w:r w:rsidRPr="00964CB1">
              <w:rPr>
                <w:rFonts w:asciiTheme="majorHAnsi" w:hAnsiTheme="majorHAnsi"/>
                <w:sz w:val="18"/>
                <w:szCs w:val="18"/>
              </w:rPr>
              <w:t>Adapted from</w:t>
            </w:r>
            <w:r w:rsidRPr="00964CB1">
              <w:rPr>
                <w:rFonts w:asciiTheme="majorHAnsi" w:hAnsiTheme="majorHAnsi"/>
                <w:i/>
                <w:sz w:val="18"/>
                <w:szCs w:val="18"/>
              </w:rPr>
              <w:t xml:space="preserve"> Participatory Lectures, </w:t>
            </w:r>
            <w:r w:rsidRPr="00964CB1">
              <w:rPr>
                <w:rFonts w:asciiTheme="majorHAnsi" w:hAnsiTheme="majorHAnsi"/>
                <w:sz w:val="18"/>
                <w:szCs w:val="18"/>
              </w:rPr>
              <w:t>Derek Bok Center for Teaching and Learning, Harvard University, 1992</w:t>
            </w:r>
          </w:p>
          <w:p w:rsidR="004700EF" w:rsidRDefault="004700EF" w:rsidP="0043473D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4700EF" w:rsidRPr="004700EF" w:rsidRDefault="004700EF" w:rsidP="006351D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04" w:type="dxa"/>
          </w:tcPr>
          <w:p w:rsidR="008A559A" w:rsidRPr="000C3192" w:rsidRDefault="008A559A" w:rsidP="000C3192">
            <w:pPr>
              <w:rPr>
                <w:b/>
              </w:rPr>
            </w:pPr>
            <w:r w:rsidRPr="000C3192">
              <w:rPr>
                <w:b/>
              </w:rPr>
              <w:t>Prime your learners</w:t>
            </w:r>
          </w:p>
          <w:p w:rsidR="008A559A" w:rsidRDefault="008A559A" w:rsidP="000C3192">
            <w:pPr>
              <w:pStyle w:val="ListParagraph"/>
              <w:numPr>
                <w:ilvl w:val="0"/>
                <w:numId w:val="1"/>
              </w:numPr>
            </w:pPr>
            <w:r>
              <w:t>Create a pre-class survey of knowledge to find out student assumptions/knowledge</w:t>
            </w:r>
          </w:p>
          <w:p w:rsidR="008A559A" w:rsidRPr="000C3192" w:rsidRDefault="008A559A" w:rsidP="000C3192">
            <w:pPr>
              <w:rPr>
                <w:b/>
              </w:rPr>
            </w:pPr>
            <w:r w:rsidRPr="000C3192">
              <w:rPr>
                <w:b/>
              </w:rPr>
              <w:t>Start Strong</w:t>
            </w:r>
          </w:p>
          <w:p w:rsidR="00830400" w:rsidRDefault="00830400" w:rsidP="000C3192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Begin session with a question(s) to help you understand what students are thinking</w:t>
            </w:r>
            <w:r w:rsidR="0058775A">
              <w:rPr>
                <w:i/>
              </w:rPr>
              <w:t xml:space="preserve">.  </w:t>
            </w:r>
            <w:r>
              <w:rPr>
                <w:i/>
              </w:rPr>
              <w:t xml:space="preserve"> “What image do you have of patients who </w:t>
            </w:r>
            <w:r w:rsidR="0058775A">
              <w:rPr>
                <w:i/>
              </w:rPr>
              <w:t>are obese</w:t>
            </w:r>
            <w:r>
              <w:rPr>
                <w:i/>
              </w:rPr>
              <w:t>?”</w:t>
            </w:r>
          </w:p>
          <w:p w:rsidR="008A559A" w:rsidRPr="0026627A" w:rsidRDefault="0026627A" w:rsidP="000C3192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Activate background knowledge – have learners reflect on how topic applies to them</w:t>
            </w:r>
          </w:p>
          <w:p w:rsidR="0026627A" w:rsidRPr="000C3192" w:rsidRDefault="0026627A" w:rsidP="000C3192">
            <w:pPr>
              <w:rPr>
                <w:b/>
                <w:i/>
              </w:rPr>
            </w:pPr>
            <w:r w:rsidRPr="000C3192">
              <w:rPr>
                <w:b/>
              </w:rPr>
              <w:t>Review throughout</w:t>
            </w:r>
          </w:p>
          <w:p w:rsidR="003178D0" w:rsidRDefault="0026627A" w:rsidP="003178D0">
            <w:pPr>
              <w:pStyle w:val="ListParagraph"/>
              <w:numPr>
                <w:ilvl w:val="0"/>
                <w:numId w:val="1"/>
              </w:numPr>
            </w:pPr>
            <w:r w:rsidRPr="0026627A">
              <w:t>Ask question</w:t>
            </w:r>
            <w:r w:rsidR="003178D0">
              <w:t xml:space="preserve">s, check for understanding, </w:t>
            </w:r>
            <w:r w:rsidRPr="0026627A">
              <w:t xml:space="preserve">have participants explain what they learned in </w:t>
            </w:r>
            <w:r w:rsidR="003178D0">
              <w:t>own words</w:t>
            </w:r>
          </w:p>
          <w:p w:rsidR="008A559A" w:rsidRPr="003178D0" w:rsidRDefault="008A559A" w:rsidP="003178D0">
            <w:r w:rsidRPr="003178D0">
              <w:rPr>
                <w:b/>
              </w:rPr>
              <w:t>Style</w:t>
            </w:r>
          </w:p>
          <w:p w:rsidR="00830400" w:rsidRDefault="00830400" w:rsidP="000C3192">
            <w:pPr>
              <w:pStyle w:val="ListParagraph"/>
              <w:numPr>
                <w:ilvl w:val="0"/>
                <w:numId w:val="1"/>
              </w:numPr>
            </w:pPr>
            <w:r>
              <w:t>Use a conversational tone</w:t>
            </w:r>
          </w:p>
          <w:p w:rsidR="00830400" w:rsidRDefault="00830400" w:rsidP="000C3192">
            <w:pPr>
              <w:pStyle w:val="ListParagraph"/>
              <w:numPr>
                <w:ilvl w:val="0"/>
                <w:numId w:val="1"/>
              </w:numPr>
            </w:pPr>
            <w:r>
              <w:t>Students feel at risk when talking-deal tactfully with responses</w:t>
            </w:r>
          </w:p>
          <w:p w:rsidR="00830400" w:rsidRDefault="00830400" w:rsidP="000C3192">
            <w:pPr>
              <w:pStyle w:val="ListParagraph"/>
              <w:numPr>
                <w:ilvl w:val="0"/>
                <w:numId w:val="1"/>
              </w:numPr>
            </w:pPr>
            <w:r>
              <w:t xml:space="preserve">Address wrong answers as bad assumptions </w:t>
            </w:r>
          </w:p>
          <w:p w:rsidR="00830400" w:rsidRDefault="008A559A" w:rsidP="000C3192">
            <w:pPr>
              <w:pStyle w:val="ListParagraph"/>
              <w:numPr>
                <w:ilvl w:val="0"/>
                <w:numId w:val="1"/>
              </w:numPr>
            </w:pPr>
            <w:r>
              <w:t>Get out from behind your podium; move</w:t>
            </w:r>
            <w:r w:rsidR="00830400">
              <w:t xml:space="preserve"> closer to students when speaking </w:t>
            </w:r>
          </w:p>
          <w:p w:rsidR="000C3192" w:rsidRDefault="00830400" w:rsidP="003178D0">
            <w:pPr>
              <w:pStyle w:val="ListParagraph"/>
              <w:numPr>
                <w:ilvl w:val="0"/>
                <w:numId w:val="1"/>
              </w:numPr>
            </w:pPr>
            <w:r>
              <w:t>If you want students to talk-look at them</w:t>
            </w:r>
          </w:p>
          <w:p w:rsidR="00D96B31" w:rsidRPr="000C3192" w:rsidRDefault="00D96B31" w:rsidP="000C3192">
            <w:pPr>
              <w:rPr>
                <w:b/>
              </w:rPr>
            </w:pPr>
            <w:r w:rsidRPr="000C3192">
              <w:rPr>
                <w:b/>
              </w:rPr>
              <w:t>Use variety to touch upon all learning styles</w:t>
            </w:r>
          </w:p>
          <w:p w:rsidR="00D96B31" w:rsidRDefault="00373FED" w:rsidP="000C3192">
            <w:pPr>
              <w:pStyle w:val="ListParagraph"/>
              <w:numPr>
                <w:ilvl w:val="0"/>
                <w:numId w:val="1"/>
              </w:numPr>
            </w:pPr>
            <w:r>
              <w:t>Show a P</w:t>
            </w:r>
            <w:r w:rsidR="00C84EC6">
              <w:t>p</w:t>
            </w:r>
            <w:r>
              <w:t>t presentation with pictures, cue words, and sounds; have participants come up and describe what is on the slide; discuss.</w:t>
            </w:r>
          </w:p>
          <w:p w:rsidR="00373FED" w:rsidRDefault="00373FED" w:rsidP="000C3192">
            <w:pPr>
              <w:pStyle w:val="ListParagraph"/>
              <w:numPr>
                <w:ilvl w:val="0"/>
                <w:numId w:val="1"/>
              </w:numPr>
            </w:pPr>
            <w:r>
              <w:t>Follow a brief lecture with a small-group discussion, then a role play.</w:t>
            </w:r>
          </w:p>
          <w:p w:rsidR="000C3192" w:rsidRDefault="004700EF" w:rsidP="003178D0">
            <w:pPr>
              <w:pStyle w:val="ListParagraph"/>
              <w:numPr>
                <w:ilvl w:val="0"/>
                <w:numId w:val="1"/>
              </w:numPr>
            </w:pPr>
            <w:r>
              <w:t>Change pace during the session</w:t>
            </w:r>
          </w:p>
          <w:p w:rsidR="0026627A" w:rsidRPr="000C3192" w:rsidRDefault="0026627A" w:rsidP="000C3192">
            <w:pPr>
              <w:rPr>
                <w:b/>
              </w:rPr>
            </w:pPr>
            <w:r w:rsidRPr="000C3192">
              <w:rPr>
                <w:b/>
              </w:rPr>
              <w:t>Encourage Learner Participation</w:t>
            </w:r>
          </w:p>
          <w:p w:rsidR="00FB167D" w:rsidRDefault="00830400" w:rsidP="000C3192">
            <w:pPr>
              <w:pStyle w:val="ListParagraph"/>
              <w:numPr>
                <w:ilvl w:val="0"/>
                <w:numId w:val="1"/>
              </w:numPr>
            </w:pPr>
            <w:r>
              <w:t xml:space="preserve">Invite challenges </w:t>
            </w:r>
            <w:r w:rsidR="0026627A">
              <w:t xml:space="preserve"> </w:t>
            </w:r>
          </w:p>
          <w:p w:rsidR="00FB167D" w:rsidRDefault="00FB167D" w:rsidP="000C3192">
            <w:pPr>
              <w:pStyle w:val="ListParagraph"/>
              <w:numPr>
                <w:ilvl w:val="0"/>
                <w:numId w:val="1"/>
              </w:numPr>
            </w:pPr>
            <w:r>
              <w:t>Pause after asking a question (at least 8 seconds)</w:t>
            </w:r>
          </w:p>
          <w:p w:rsidR="0026627A" w:rsidRDefault="0026627A" w:rsidP="000C3192">
            <w:pPr>
              <w:pStyle w:val="ListParagraph"/>
              <w:numPr>
                <w:ilvl w:val="0"/>
                <w:numId w:val="1"/>
              </w:numPr>
            </w:pPr>
            <w:r>
              <w:t>Use feedback</w:t>
            </w:r>
          </w:p>
          <w:p w:rsidR="000C3192" w:rsidRDefault="0026627A" w:rsidP="003178D0">
            <w:pPr>
              <w:pStyle w:val="ListParagraph"/>
              <w:numPr>
                <w:ilvl w:val="0"/>
                <w:numId w:val="1"/>
              </w:numPr>
            </w:pPr>
            <w:r>
              <w:t>Encourage peer interaction</w:t>
            </w:r>
          </w:p>
          <w:p w:rsidR="007B3AF3" w:rsidRDefault="007B3AF3" w:rsidP="007B3AF3">
            <w:pPr>
              <w:ind w:left="360"/>
            </w:pPr>
          </w:p>
          <w:p w:rsidR="000C3192" w:rsidRDefault="00830400" w:rsidP="000C3192">
            <w:pPr>
              <w:rPr>
                <w:b/>
              </w:rPr>
            </w:pPr>
            <w:r w:rsidRPr="000C3192">
              <w:rPr>
                <w:b/>
              </w:rPr>
              <w:t>Pause in the lecture after making a major point</w:t>
            </w:r>
          </w:p>
          <w:p w:rsidR="000C3192" w:rsidRDefault="00830400" w:rsidP="000C3192">
            <w:pPr>
              <w:rPr>
                <w:b/>
              </w:rPr>
            </w:pPr>
            <w:r w:rsidRPr="000C3192">
              <w:rPr>
                <w:b/>
              </w:rPr>
              <w:t>Use cases to exemplify content/issues you want to convey</w:t>
            </w:r>
          </w:p>
          <w:p w:rsidR="003178D0" w:rsidRPr="003178D0" w:rsidRDefault="003178D0" w:rsidP="000C3192">
            <w:pPr>
              <w:rPr>
                <w:b/>
              </w:rPr>
            </w:pPr>
          </w:p>
          <w:p w:rsidR="008A559A" w:rsidRPr="000C3192" w:rsidRDefault="008A559A" w:rsidP="000C3192">
            <w:pPr>
              <w:rPr>
                <w:b/>
              </w:rPr>
            </w:pPr>
            <w:r w:rsidRPr="000C3192">
              <w:rPr>
                <w:b/>
              </w:rPr>
              <w:t>End Strong</w:t>
            </w:r>
          </w:p>
          <w:p w:rsidR="00830400" w:rsidRDefault="008A559A" w:rsidP="000C3192">
            <w:pPr>
              <w:pStyle w:val="ListParagraph"/>
              <w:numPr>
                <w:ilvl w:val="0"/>
                <w:numId w:val="1"/>
              </w:numPr>
            </w:pPr>
            <w:r>
              <w:t>End</w:t>
            </w:r>
            <w:r w:rsidR="00830400">
              <w:t xml:space="preserve"> lectures prior to the end of a session</w:t>
            </w:r>
          </w:p>
          <w:p w:rsidR="008A559A" w:rsidRDefault="008A559A" w:rsidP="000C3192">
            <w:pPr>
              <w:pStyle w:val="ListParagraph"/>
              <w:numPr>
                <w:ilvl w:val="0"/>
                <w:numId w:val="1"/>
              </w:numPr>
            </w:pPr>
            <w:r>
              <w:t>Summarize</w:t>
            </w:r>
            <w:r w:rsidR="0026627A">
              <w:t xml:space="preserve"> key points</w:t>
            </w:r>
          </w:p>
          <w:p w:rsidR="00830400" w:rsidRDefault="00830400" w:rsidP="000C3192">
            <w:pPr>
              <w:pStyle w:val="ListParagraph"/>
              <w:numPr>
                <w:ilvl w:val="0"/>
                <w:numId w:val="1"/>
              </w:numPr>
            </w:pPr>
            <w:r>
              <w:t>Allow time for questions</w:t>
            </w:r>
          </w:p>
          <w:p w:rsidR="00830400" w:rsidRDefault="00830400" w:rsidP="000C3192">
            <w:pPr>
              <w:pStyle w:val="ListParagraph"/>
              <w:numPr>
                <w:ilvl w:val="0"/>
                <w:numId w:val="1"/>
              </w:numPr>
            </w:pPr>
            <w:r>
              <w:t>Use the lecture time to set up problems that will be discussed after the lecture time</w:t>
            </w:r>
          </w:p>
          <w:p w:rsidR="00830400" w:rsidRDefault="000D6985" w:rsidP="003178D0">
            <w:pPr>
              <w:pStyle w:val="ListParagraph"/>
              <w:numPr>
                <w:ilvl w:val="0"/>
                <w:numId w:val="1"/>
              </w:numPr>
            </w:pPr>
            <w:r>
              <w:t>Use</w:t>
            </w:r>
            <w:r w:rsidR="00830400">
              <w:t xml:space="preserve"> a </w:t>
            </w:r>
            <w:r>
              <w:t>1</w:t>
            </w:r>
            <w:r w:rsidR="00830400">
              <w:t>-question quiz based on material just covered (individually or in groups), allow for discussion</w:t>
            </w:r>
          </w:p>
        </w:tc>
      </w:tr>
    </w:tbl>
    <w:p w:rsidR="002638DD" w:rsidRPr="00F944B1" w:rsidRDefault="002638DD" w:rsidP="000C15CB">
      <w:pPr>
        <w:rPr>
          <w:rFonts w:cstheme="minorHAnsi"/>
          <w:sz w:val="20"/>
          <w:szCs w:val="20"/>
        </w:rPr>
      </w:pPr>
    </w:p>
    <w:sectPr w:rsidR="002638DD" w:rsidRPr="00F944B1" w:rsidSect="00B47F27">
      <w:headerReference w:type="default" r:id="rId7"/>
      <w:footerReference w:type="default" r:id="rId8"/>
      <w:pgSz w:w="15840" w:h="12240" w:orient="landscape"/>
      <w:pgMar w:top="1008" w:right="1008" w:bottom="45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401" w:rsidRDefault="00F23401">
      <w:pPr>
        <w:spacing w:after="0" w:line="240" w:lineRule="auto"/>
      </w:pPr>
      <w:r>
        <w:separator/>
      </w:r>
    </w:p>
  </w:endnote>
  <w:endnote w:type="continuationSeparator" w:id="0">
    <w:p w:rsidR="00F23401" w:rsidRDefault="00F2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01" w:rsidRPr="00642A39" w:rsidRDefault="00F23401" w:rsidP="00642A39">
    <w:pPr>
      <w:pStyle w:val="Header"/>
    </w:pPr>
    <w:r>
      <w:t xml:space="preserve">Compiled by Lynne Robins, PhD: </w:t>
    </w:r>
    <w:hyperlink r:id="rId1" w:history="1">
      <w:r w:rsidRPr="000B5B94">
        <w:rPr>
          <w:rStyle w:val="Hyperlink"/>
        </w:rPr>
        <w:t>lynner@uw.edu</w:t>
      </w:r>
    </w:hyperlink>
    <w:r>
      <w:t xml:space="preserve">, Dept. of Biomedical Informatics &amp; Medical Education, University of Washington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401" w:rsidRDefault="00F23401">
      <w:pPr>
        <w:spacing w:after="0" w:line="240" w:lineRule="auto"/>
      </w:pPr>
      <w:r>
        <w:separator/>
      </w:r>
    </w:p>
  </w:footnote>
  <w:footnote w:type="continuationSeparator" w:id="0">
    <w:p w:rsidR="00F23401" w:rsidRDefault="00F23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01" w:rsidRPr="00FE2B0D" w:rsidRDefault="00F23401">
    <w:pPr>
      <w:pStyle w:val="Header"/>
    </w:pPr>
    <w:r>
      <w:rPr>
        <w:b/>
        <w:sz w:val="28"/>
        <w:szCs w:val="28"/>
      </w:rPr>
      <w:t>How to Make Your Teaching More Interactive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6F79"/>
    <w:multiLevelType w:val="hybridMultilevel"/>
    <w:tmpl w:val="5C5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56107"/>
    <w:multiLevelType w:val="hybridMultilevel"/>
    <w:tmpl w:val="FF365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D349D"/>
    <w:multiLevelType w:val="hybridMultilevel"/>
    <w:tmpl w:val="83F6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F002E"/>
    <w:multiLevelType w:val="hybridMultilevel"/>
    <w:tmpl w:val="3A0E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5CB"/>
    <w:rsid w:val="0002359C"/>
    <w:rsid w:val="00027356"/>
    <w:rsid w:val="000515B8"/>
    <w:rsid w:val="0006596E"/>
    <w:rsid w:val="000868E7"/>
    <w:rsid w:val="000873C1"/>
    <w:rsid w:val="000B31C7"/>
    <w:rsid w:val="000C15CB"/>
    <w:rsid w:val="000C3192"/>
    <w:rsid w:val="000D154C"/>
    <w:rsid w:val="000D6985"/>
    <w:rsid w:val="000F6F8C"/>
    <w:rsid w:val="001212FE"/>
    <w:rsid w:val="0013472D"/>
    <w:rsid w:val="0014131C"/>
    <w:rsid w:val="00174E9A"/>
    <w:rsid w:val="0019637A"/>
    <w:rsid w:val="001B7EAE"/>
    <w:rsid w:val="001F07A2"/>
    <w:rsid w:val="00221DC7"/>
    <w:rsid w:val="002251BD"/>
    <w:rsid w:val="00251200"/>
    <w:rsid w:val="002638DD"/>
    <w:rsid w:val="0026627A"/>
    <w:rsid w:val="00285AE4"/>
    <w:rsid w:val="002A45C9"/>
    <w:rsid w:val="002E652D"/>
    <w:rsid w:val="002F6F6B"/>
    <w:rsid w:val="003154CF"/>
    <w:rsid w:val="003178D0"/>
    <w:rsid w:val="00321A3B"/>
    <w:rsid w:val="00326375"/>
    <w:rsid w:val="00333450"/>
    <w:rsid w:val="0034364C"/>
    <w:rsid w:val="00373FED"/>
    <w:rsid w:val="003A0E61"/>
    <w:rsid w:val="003A46BE"/>
    <w:rsid w:val="003C5BBF"/>
    <w:rsid w:val="003E55F9"/>
    <w:rsid w:val="00403E00"/>
    <w:rsid w:val="0043473D"/>
    <w:rsid w:val="00445123"/>
    <w:rsid w:val="00452805"/>
    <w:rsid w:val="004568AD"/>
    <w:rsid w:val="00465E26"/>
    <w:rsid w:val="004700EF"/>
    <w:rsid w:val="004A3A03"/>
    <w:rsid w:val="004C0ABA"/>
    <w:rsid w:val="004E2C32"/>
    <w:rsid w:val="0050694B"/>
    <w:rsid w:val="00506966"/>
    <w:rsid w:val="005110D3"/>
    <w:rsid w:val="00512B2C"/>
    <w:rsid w:val="00553ACF"/>
    <w:rsid w:val="00582065"/>
    <w:rsid w:val="0058775A"/>
    <w:rsid w:val="005B3A34"/>
    <w:rsid w:val="005E6689"/>
    <w:rsid w:val="00600569"/>
    <w:rsid w:val="00625E4A"/>
    <w:rsid w:val="006351DF"/>
    <w:rsid w:val="006422E8"/>
    <w:rsid w:val="00642A39"/>
    <w:rsid w:val="0065412B"/>
    <w:rsid w:val="00697F39"/>
    <w:rsid w:val="006A4E45"/>
    <w:rsid w:val="006A67D4"/>
    <w:rsid w:val="006C0C8E"/>
    <w:rsid w:val="006C21E1"/>
    <w:rsid w:val="007145EB"/>
    <w:rsid w:val="007365A0"/>
    <w:rsid w:val="00771236"/>
    <w:rsid w:val="00794A99"/>
    <w:rsid w:val="007A46E8"/>
    <w:rsid w:val="007A75ED"/>
    <w:rsid w:val="007B0163"/>
    <w:rsid w:val="007B23BB"/>
    <w:rsid w:val="007B3AF3"/>
    <w:rsid w:val="007F62B9"/>
    <w:rsid w:val="00830400"/>
    <w:rsid w:val="0084122C"/>
    <w:rsid w:val="00861C85"/>
    <w:rsid w:val="00862A2C"/>
    <w:rsid w:val="00877A15"/>
    <w:rsid w:val="008A559A"/>
    <w:rsid w:val="008B1DC6"/>
    <w:rsid w:val="008D5759"/>
    <w:rsid w:val="008D6029"/>
    <w:rsid w:val="00960087"/>
    <w:rsid w:val="00961F74"/>
    <w:rsid w:val="00964CB1"/>
    <w:rsid w:val="00982721"/>
    <w:rsid w:val="009B19DB"/>
    <w:rsid w:val="009B4931"/>
    <w:rsid w:val="009C26A2"/>
    <w:rsid w:val="009D04BB"/>
    <w:rsid w:val="009F7F7D"/>
    <w:rsid w:val="00A128C7"/>
    <w:rsid w:val="00A3055B"/>
    <w:rsid w:val="00A321AC"/>
    <w:rsid w:val="00A414B6"/>
    <w:rsid w:val="00A62DC5"/>
    <w:rsid w:val="00A966C6"/>
    <w:rsid w:val="00AA0324"/>
    <w:rsid w:val="00AC0E2B"/>
    <w:rsid w:val="00AC20C2"/>
    <w:rsid w:val="00AC6E56"/>
    <w:rsid w:val="00B035FE"/>
    <w:rsid w:val="00B1672E"/>
    <w:rsid w:val="00B47F27"/>
    <w:rsid w:val="00B674FA"/>
    <w:rsid w:val="00B75ED0"/>
    <w:rsid w:val="00BC32C5"/>
    <w:rsid w:val="00C84EC6"/>
    <w:rsid w:val="00CC625A"/>
    <w:rsid w:val="00CF4266"/>
    <w:rsid w:val="00D22630"/>
    <w:rsid w:val="00D524AB"/>
    <w:rsid w:val="00D96B31"/>
    <w:rsid w:val="00E02B98"/>
    <w:rsid w:val="00E22190"/>
    <w:rsid w:val="00E47197"/>
    <w:rsid w:val="00E83CA0"/>
    <w:rsid w:val="00E9018D"/>
    <w:rsid w:val="00E956E0"/>
    <w:rsid w:val="00EC5502"/>
    <w:rsid w:val="00ED629E"/>
    <w:rsid w:val="00F15A3B"/>
    <w:rsid w:val="00F2030C"/>
    <w:rsid w:val="00F23401"/>
    <w:rsid w:val="00F2582C"/>
    <w:rsid w:val="00F4022B"/>
    <w:rsid w:val="00F55510"/>
    <w:rsid w:val="00F733A0"/>
    <w:rsid w:val="00F944B1"/>
    <w:rsid w:val="00FB167D"/>
    <w:rsid w:val="00FE0795"/>
    <w:rsid w:val="00FE2B0D"/>
    <w:rsid w:val="00FF0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lug-vol">
    <w:name w:val="slug-vol"/>
    <w:basedOn w:val="DefaultParagraphFont"/>
    <w:rsid w:val="000C15CB"/>
    <w:rPr>
      <w:b w:val="0"/>
      <w:bCs w:val="0"/>
    </w:rPr>
  </w:style>
  <w:style w:type="character" w:customStyle="1" w:styleId="cit-sep1">
    <w:name w:val="cit-sep1"/>
    <w:basedOn w:val="DefaultParagraphFont"/>
    <w:rsid w:val="000C15CB"/>
    <w:rPr>
      <w:b w:val="0"/>
      <w:bCs w:val="0"/>
    </w:rPr>
  </w:style>
  <w:style w:type="character" w:styleId="Hyperlink">
    <w:name w:val="Hyperlink"/>
    <w:basedOn w:val="DefaultParagraphFont"/>
    <w:uiPriority w:val="99"/>
    <w:unhideWhenUsed/>
    <w:rsid w:val="000C15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2B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A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AE4"/>
  </w:style>
  <w:style w:type="paragraph" w:styleId="Footer">
    <w:name w:val="footer"/>
    <w:basedOn w:val="Normal"/>
    <w:link w:val="FooterChar"/>
    <w:uiPriority w:val="99"/>
    <w:unhideWhenUsed/>
    <w:rsid w:val="00285A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lug-vol">
    <w:name w:val="slug-vol"/>
    <w:basedOn w:val="DefaultParagraphFont"/>
    <w:rsid w:val="000C15CB"/>
    <w:rPr>
      <w:b w:val="0"/>
      <w:bCs w:val="0"/>
    </w:rPr>
  </w:style>
  <w:style w:type="character" w:customStyle="1" w:styleId="cit-sep1">
    <w:name w:val="cit-sep1"/>
    <w:basedOn w:val="DefaultParagraphFont"/>
    <w:rsid w:val="000C15CB"/>
    <w:rPr>
      <w:b w:val="0"/>
      <w:bCs w:val="0"/>
    </w:rPr>
  </w:style>
  <w:style w:type="character" w:styleId="Hyperlink">
    <w:name w:val="Hyperlink"/>
    <w:basedOn w:val="DefaultParagraphFont"/>
    <w:uiPriority w:val="99"/>
    <w:unhideWhenUsed/>
    <w:rsid w:val="000C15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2B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A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AE4"/>
  </w:style>
  <w:style w:type="paragraph" w:styleId="Footer">
    <w:name w:val="footer"/>
    <w:basedOn w:val="Normal"/>
    <w:link w:val="FooterChar"/>
    <w:uiPriority w:val="99"/>
    <w:unhideWhenUsed/>
    <w:rsid w:val="00285A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ynner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1058</Words>
  <Characters>6035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MCW DFCM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Riordan, Sara</dc:creator>
  <cp:lastModifiedBy>szinne</cp:lastModifiedBy>
  <cp:revision>2</cp:revision>
  <cp:lastPrinted>2012-07-16T17:56:00Z</cp:lastPrinted>
  <dcterms:created xsi:type="dcterms:W3CDTF">2014-04-11T22:26:00Z</dcterms:created>
  <dcterms:modified xsi:type="dcterms:W3CDTF">2014-04-11T22:26:00Z</dcterms:modified>
</cp:coreProperties>
</file>