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B6" w:rsidRDefault="000140B6" w:rsidP="000140B6">
      <w:pPr>
        <w:pStyle w:val="Heading1"/>
      </w:pPr>
      <w:r w:rsidRPr="00DC3DD0">
        <w:rPr>
          <w:noProof/>
        </w:rPr>
        <w:drawing>
          <wp:anchor distT="0" distB="0" distL="0" distR="0" simplePos="0" relativeHeight="251659264" behindDoc="0" locked="0" layoutInCell="1" allowOverlap="1" wp14:anchorId="469785E4" wp14:editId="3DF86913">
            <wp:simplePos x="0" y="0"/>
            <wp:positionH relativeFrom="page">
              <wp:posOffset>5895975</wp:posOffset>
            </wp:positionH>
            <wp:positionV relativeFrom="paragraph">
              <wp:posOffset>76200</wp:posOffset>
            </wp:positionV>
            <wp:extent cx="1691640" cy="1060704"/>
            <wp:effectExtent l="0" t="0" r="3810" b="6350"/>
            <wp:wrapThrough wrapText="bothSides">
              <wp:wrapPolygon edited="0">
                <wp:start x="0" y="0"/>
                <wp:lineTo x="0" y="21341"/>
                <wp:lineTo x="21405" y="21341"/>
                <wp:lineTo x="21405" y="0"/>
                <wp:lineTo x="0" y="0"/>
              </wp:wrapPolygon>
            </wp:wrapThrough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32" b="24138"/>
                    <a:stretch/>
                  </pic:blipFill>
                  <pic:spPr>
                    <a:xfrm>
                      <a:off x="0" y="0"/>
                      <a:ext cx="1691640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Six Building Blocks </w:t>
      </w:r>
      <w:r>
        <w:t>Monitor &amp; Sustain</w:t>
      </w:r>
      <w:r>
        <w:t xml:space="preserve"> Activities Checklist</w:t>
      </w:r>
    </w:p>
    <w:p w:rsidR="000140B6" w:rsidRDefault="000140B6" w:rsidP="000140B6">
      <w:r>
        <w:t xml:space="preserve">Below is a list of activities for the </w:t>
      </w:r>
      <w:r>
        <w:t>final</w:t>
      </w:r>
      <w:r>
        <w:t xml:space="preserve"> stage of implementing the Six Building Blocks, </w:t>
      </w:r>
      <w:r>
        <w:rPr>
          <w:i/>
        </w:rPr>
        <w:t>Monitor &amp; Sustain</w:t>
      </w:r>
      <w:r>
        <w:t>. Consider this list a starting place of activities, which you can adjust depending on your current status and priorities.</w:t>
      </w:r>
    </w:p>
    <w:p w:rsidR="000140B6" w:rsidRDefault="000140B6" w:rsidP="00E2587B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</w:pPr>
    </w:p>
    <w:p w:rsidR="000140B6" w:rsidRDefault="000140B6" w:rsidP="00BB2E20">
      <w:pPr>
        <w:pStyle w:val="Heading4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cnfStyle w:val="101000000000" w:firstRow="1" w:lastRow="0" w:firstColumn="1" w:lastColumn="0" w:oddVBand="0" w:evenVBand="0" w:oddHBand="0" w:evenHBand="0" w:firstRowFirstColumn="0" w:firstRowLastColumn="0" w:lastRowFirstColumn="0" w:lastRowLastColumn="0"/>
      </w:pPr>
      <w:r>
        <w:t>Leadership &amp; consensus</w:t>
      </w:r>
    </w:p>
    <w:p w:rsidR="000140B6" w:rsidRDefault="000140B6" w:rsidP="00BB2E20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cnfStyle w:val="001000100000" w:firstRow="0" w:lastRow="0" w:firstColumn="1" w:lastColumn="0" w:oddVBand="0" w:evenVBand="0" w:oddHBand="1" w:evenHBand="0" w:firstRowFirstColumn="0" w:firstRowLastColumn="0" w:lastRowFirstColumn="0" w:lastRowLastColumn="0"/>
      </w:pPr>
      <w:sdt>
        <w:sdtPr>
          <w:id w:val="1559202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Continue to protect time for improvement team to meet</w:t>
      </w:r>
    </w:p>
    <w:p w:rsidR="000140B6" w:rsidRDefault="000140B6" w:rsidP="00BB2E20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cnfStyle w:val="001000100000" w:firstRow="0" w:lastRow="0" w:firstColumn="1" w:lastColumn="0" w:oddVBand="0" w:evenVBand="0" w:oddHBand="1" w:evenHBand="0" w:firstRowFirstColumn="0" w:firstRowLastColumn="0" w:lastRowFirstColumn="0" w:lastRowLastColumn="0"/>
      </w:pPr>
      <w:sdt>
        <w:sdtPr>
          <w:id w:val="739917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Emphasize project importance with updates at weekly &amp; monthly staff meetings</w:t>
      </w:r>
    </w:p>
    <w:p w:rsidR="000140B6" w:rsidRDefault="000140B6" w:rsidP="00BB2E20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ind w:left="288" w:hanging="288"/>
        <w:cnfStyle w:val="001000100000" w:firstRow="0" w:lastRow="0" w:firstColumn="1" w:lastColumn="0" w:oddVBand="0" w:evenVBand="0" w:oddHBand="1" w:evenHBand="0" w:firstRowFirstColumn="0" w:firstRowLastColumn="0" w:lastRowFirstColumn="0" w:lastRowLastColumn="0"/>
      </w:pPr>
      <w:sdt>
        <w:sdtPr>
          <w:id w:val="-2064786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Assess adequacy of resources needed for tracking and monitoring and identify additional resources if needed</w:t>
      </w:r>
    </w:p>
    <w:p w:rsidR="000140B6" w:rsidRDefault="000140B6" w:rsidP="00BB2E20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cnfStyle w:val="001000100000" w:firstRow="0" w:lastRow="0" w:firstColumn="1" w:lastColumn="0" w:oddVBand="0" w:evenVBand="0" w:oddHBand="1" w:evenHBand="0" w:firstRowFirstColumn="0" w:firstRowLastColumn="0" w:lastRowFirstColumn="0" w:lastRowLastColumn="0"/>
      </w:pPr>
      <w:sdt>
        <w:sdtPr>
          <w:id w:val="530998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Identify specific clinicians/patients with successes and share stories</w:t>
      </w:r>
    </w:p>
    <w:p w:rsidR="000140B6" w:rsidRDefault="000140B6" w:rsidP="00BB2E20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cnfStyle w:val="001000100000" w:firstRow="0" w:lastRow="0" w:firstColumn="1" w:lastColumn="0" w:oddVBand="0" w:evenVBand="0" w:oddHBand="1" w:evenHBand="0" w:firstRowFirstColumn="0" w:firstRowLastColumn="0" w:lastRowFirstColumn="0" w:lastRowLastColumn="0"/>
      </w:pPr>
      <w:sdt>
        <w:sdtPr>
          <w:id w:val="1226950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Obtain feedback from staff and clinicians and adjust as necessary</w:t>
      </w:r>
    </w:p>
    <w:p w:rsidR="000140B6" w:rsidRDefault="000140B6" w:rsidP="00BB2E20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cnfStyle w:val="001000100000" w:firstRow="0" w:lastRow="0" w:firstColumn="1" w:lastColumn="0" w:oddVBand="0" w:evenVBand="0" w:oddHBand="1" w:evenHBand="0" w:firstRowFirstColumn="0" w:firstRowLastColumn="0" w:lastRowFirstColumn="0" w:lastRowLastColumn="0"/>
      </w:pPr>
      <w:sdt>
        <w:sdtPr>
          <w:id w:val="-252821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Identify reluctant providers and identify strategies to improve engagement</w:t>
      </w:r>
    </w:p>
    <w:p w:rsidR="000140B6" w:rsidRDefault="000140B6" w:rsidP="00BB2E20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cnfStyle w:val="001000100000" w:firstRow="0" w:lastRow="0" w:firstColumn="1" w:lastColumn="0" w:oddVBand="0" w:evenVBand="0" w:oddHBand="1" w:evenHBand="0" w:firstRowFirstColumn="0" w:firstRowLastColumn="0" w:lastRowFirstColumn="0" w:lastRowLastColumn="0"/>
      </w:pPr>
      <w:sdt>
        <w:sdtPr>
          <w:id w:val="-1660221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Stay up to date with guidelines (Medicaid, </w:t>
      </w:r>
      <w:r w:rsidRPr="000140B6">
        <w:t>AMDG, CDC</w:t>
      </w:r>
      <w:r>
        <w:t>, etc.)</w:t>
      </w:r>
    </w:p>
    <w:p w:rsidR="000140B6" w:rsidRDefault="000140B6" w:rsidP="00BB2E20">
      <w:pPr>
        <w:pStyle w:val="Heading4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before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Policies, patient agreements, &amp; workflows</w:t>
      </w:r>
    </w:p>
    <w:p w:rsidR="000140B6" w:rsidRPr="00C909AA" w:rsidRDefault="000140B6" w:rsidP="00BB2E20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ind w:left="288" w:hanging="288"/>
        <w:cnfStyle w:val="001000100000" w:firstRow="0" w:lastRow="0" w:firstColumn="1" w:lastColumn="0" w:oddVBand="0" w:evenVBand="0" w:oddHBand="1" w:evenHBand="0" w:firstRowFirstColumn="0" w:firstRowLastColumn="0" w:lastRowFirstColumn="0" w:lastRowLastColumn="0"/>
      </w:pPr>
      <w:sdt>
        <w:sdtPr>
          <w:id w:val="-865443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Revisit and revise policies, patient agreements, and workflows, as needed based on experiences and new evidence</w:t>
      </w:r>
    </w:p>
    <w:p w:rsidR="000140B6" w:rsidRDefault="000140B6" w:rsidP="00BB2E20">
      <w:pPr>
        <w:pStyle w:val="Heading4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before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Tracking &amp; monitoring patient care</w:t>
      </w:r>
    </w:p>
    <w:p w:rsidR="000140B6" w:rsidRDefault="000140B6" w:rsidP="00BB2E20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ind w:left="288" w:hanging="288"/>
        <w:cnfStyle w:val="001000100000" w:firstRow="0" w:lastRow="0" w:firstColumn="1" w:lastColumn="0" w:oddVBand="0" w:evenVBand="0" w:oddHBand="1" w:evenHBand="0" w:firstRowFirstColumn="0" w:firstRowLastColumn="0" w:lastRowFirstColumn="0" w:lastRowLastColumn="0"/>
      </w:pPr>
      <w:sdt>
        <w:sdtPr>
          <w:id w:val="613175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Adjust </w:t>
      </w:r>
      <w:r w:rsidRPr="004A396C">
        <w:t>and iterate best possible tracking &amp; monitoring approaches for pre-visit planning &amp; monitoring success</w:t>
      </w:r>
    </w:p>
    <w:p w:rsidR="000140B6" w:rsidRDefault="000140B6" w:rsidP="00BB2E20">
      <w:pPr>
        <w:pStyle w:val="Heading4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before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Planned, patient-centered visits</w:t>
      </w:r>
    </w:p>
    <w:p w:rsidR="000140B6" w:rsidRDefault="000140B6" w:rsidP="00BB2E20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cnfStyle w:val="001000100000" w:firstRow="0" w:lastRow="0" w:firstColumn="1" w:lastColumn="0" w:oddVBand="0" w:evenVBand="0" w:oddHBand="1" w:evenHBand="0" w:firstRowFirstColumn="0" w:firstRowLastColumn="0" w:lastRowFirstColumn="0" w:lastRowLastColumn="0"/>
      </w:pPr>
      <w:sdt>
        <w:sdtPr>
          <w:id w:val="424777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Offer training opportunities for empathic communication and patient involvement</w:t>
      </w:r>
    </w:p>
    <w:p w:rsidR="000140B6" w:rsidRDefault="000140B6" w:rsidP="00BB2E20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ind w:left="288" w:hanging="288"/>
        <w:cnfStyle w:val="001000100000" w:firstRow="0" w:lastRow="0" w:firstColumn="1" w:lastColumn="0" w:oddVBand="0" w:evenVBand="0" w:oddHBand="1" w:evenHBand="0" w:firstRowFirstColumn="0" w:firstRowLastColumn="0" w:lastRowFirstColumn="0" w:lastRowLastColumn="0"/>
      </w:pPr>
      <w:sdt>
        <w:sdtPr>
          <w:id w:val="2093895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Adjust and iterate workflows to risk-stratify patients, identify COT patients, review their charts for care gaps, and prepare for visits</w:t>
      </w:r>
    </w:p>
    <w:p w:rsidR="000140B6" w:rsidRDefault="000140B6" w:rsidP="00BB2E20">
      <w:pPr>
        <w:pStyle w:val="Heading4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before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Caring for complex patients</w:t>
      </w:r>
    </w:p>
    <w:p w:rsidR="000140B6" w:rsidRDefault="000140B6" w:rsidP="00BB2E20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cnfStyle w:val="001000100000" w:firstRow="0" w:lastRow="0" w:firstColumn="1" w:lastColumn="0" w:oddVBand="0" w:evenVBand="0" w:oddHBand="1" w:evenHBand="0" w:firstRowFirstColumn="0" w:firstRowLastColumn="0" w:lastRowFirstColumn="0" w:lastRowLastColumn="0"/>
      </w:pPr>
      <w:sdt>
        <w:sdtPr>
          <w:id w:val="-63025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Ensure clear referral pathways for complex patient resources and close the loop on referrals</w:t>
      </w:r>
    </w:p>
    <w:p w:rsidR="000140B6" w:rsidRPr="00C909AA" w:rsidRDefault="00BB2E20" w:rsidP="00BB2E20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cnfStyle w:val="001000100000" w:firstRow="0" w:lastRow="0" w:firstColumn="1" w:lastColumn="0" w:oddVBand="0" w:evenVBand="0" w:oddHBand="1" w:evenHBand="0" w:firstRowFirstColumn="0" w:firstRowLastColumn="0" w:lastRowFirstColumn="0" w:lastRowLastColumn="0"/>
      </w:pPr>
      <w:sdt>
        <w:sdtPr>
          <w:id w:val="746233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140B6">
        <w:t>Implement and iterate workflows to screen for and identify complex patients</w:t>
      </w:r>
    </w:p>
    <w:p w:rsidR="000140B6" w:rsidRDefault="000140B6" w:rsidP="00BB2E20">
      <w:pPr>
        <w:pStyle w:val="Heading4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before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Measuring success</w:t>
      </w:r>
    </w:p>
    <w:p w:rsidR="000140B6" w:rsidRDefault="000140B6" w:rsidP="00BB2E20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ind w:left="288" w:hanging="288"/>
        <w:cnfStyle w:val="001000100000" w:firstRow="0" w:lastRow="0" w:firstColumn="1" w:lastColumn="0" w:oddVBand="0" w:evenVBand="0" w:oddHBand="1" w:evenHBand="0" w:firstRowFirstColumn="0" w:firstRowLastColumn="0" w:lastRowFirstColumn="0" w:lastRowLastColumn="0"/>
      </w:pPr>
      <w:sdt>
        <w:sdtPr>
          <w:id w:val="-129150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Produce provider-specific reports on COT performance measures and discuss during medical staff meetings</w:t>
      </w:r>
    </w:p>
    <w:p w:rsidR="000140B6" w:rsidRDefault="000140B6" w:rsidP="00BB2E20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ind w:left="288" w:hanging="288"/>
        <w:cnfStyle w:val="001000100000" w:firstRow="0" w:lastRow="0" w:firstColumn="1" w:lastColumn="0" w:oddVBand="0" w:evenVBand="0" w:oddHBand="1" w:evenHBand="0" w:firstRowFirstColumn="0" w:firstRowLastColumn="0" w:lastRowFirstColumn="0" w:lastRowLastColumn="0"/>
      </w:pPr>
      <w:sdt>
        <w:sdtPr>
          <w:id w:val="-986158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Regularly review performance measure data (run charts) at the level of the clinic during all staff meetings and other opportunities</w:t>
      </w:r>
    </w:p>
    <w:p w:rsidR="000140B6" w:rsidRDefault="000140B6" w:rsidP="00BB2E20">
      <w:pPr>
        <w:pStyle w:val="NoSpacing"/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cnfStyle w:val="001000100000" w:firstRow="0" w:lastRow="0" w:firstColumn="1" w:lastColumn="0" w:oddVBand="0" w:evenVBand="0" w:oddHBand="1" w:evenHBand="0" w:firstRowFirstColumn="0" w:firstRowLastColumn="0" w:lastRowFirstColumn="0" w:lastRowLastColumn="0"/>
      </w:pPr>
      <w:sdt>
        <w:sdtPr>
          <w:id w:val="-1922717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Identify additional opportunities for improvement and implement small cycle tests of change</w:t>
      </w:r>
    </w:p>
    <w:p w:rsidR="009640F4" w:rsidRDefault="00C3374E">
      <w:bookmarkStart w:id="0" w:name="_GoBack"/>
      <w:bookmarkEnd w:id="0"/>
    </w:p>
    <w:sectPr w:rsidR="009640F4" w:rsidSect="00BB2E2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0B6" w:rsidRDefault="000140B6" w:rsidP="000140B6">
      <w:pPr>
        <w:spacing w:after="0"/>
      </w:pPr>
      <w:r>
        <w:separator/>
      </w:r>
    </w:p>
  </w:endnote>
  <w:endnote w:type="continuationSeparator" w:id="0">
    <w:p w:rsidR="000140B6" w:rsidRDefault="000140B6" w:rsidP="000140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0B6" w:rsidRDefault="000140B6" w:rsidP="000140B6">
      <w:pPr>
        <w:spacing w:after="0"/>
      </w:pPr>
      <w:r>
        <w:separator/>
      </w:r>
    </w:p>
  </w:footnote>
  <w:footnote w:type="continuationSeparator" w:id="0">
    <w:p w:rsidR="000140B6" w:rsidRDefault="000140B6" w:rsidP="000140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0B6" w:rsidRPr="000140B6" w:rsidRDefault="000140B6" w:rsidP="000140B6">
    <w:pPr>
      <w:pStyle w:val="Header"/>
      <w:jc w:val="center"/>
      <w:rPr>
        <w:i/>
      </w:rPr>
    </w:pPr>
    <w:r>
      <w:t>[</w:t>
    </w:r>
    <w:r>
      <w:rPr>
        <w:i/>
      </w:rPr>
      <w:t>Put your organization’s letterhead here]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6BC"/>
    <w:multiLevelType w:val="hybridMultilevel"/>
    <w:tmpl w:val="19E8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B6"/>
    <w:rsid w:val="000140B6"/>
    <w:rsid w:val="00707EA2"/>
    <w:rsid w:val="009015AD"/>
    <w:rsid w:val="00BB2E20"/>
    <w:rsid w:val="00C3374E"/>
    <w:rsid w:val="00F3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75267-371C-4C80-8144-233F2155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0B6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140B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40B6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0B6"/>
    <w:pPr>
      <w:ind w:left="720"/>
      <w:contextualSpacing/>
    </w:pPr>
  </w:style>
  <w:style w:type="table" w:styleId="GridTable2-Accent6">
    <w:name w:val="Grid Table 2 Accent 6"/>
    <w:basedOn w:val="TableNormal"/>
    <w:uiPriority w:val="47"/>
    <w:rsid w:val="000140B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140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140B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0140B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40B6"/>
  </w:style>
  <w:style w:type="paragraph" w:styleId="Footer">
    <w:name w:val="footer"/>
    <w:basedOn w:val="Normal"/>
    <w:link w:val="FooterChar"/>
    <w:uiPriority w:val="99"/>
    <w:unhideWhenUsed/>
    <w:rsid w:val="000140B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40B6"/>
  </w:style>
  <w:style w:type="paragraph" w:styleId="NoSpacing">
    <w:name w:val="No Spacing"/>
    <w:uiPriority w:val="1"/>
    <w:qFormat/>
    <w:rsid w:val="00014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Ike</dc:creator>
  <cp:keywords/>
  <dc:description/>
  <cp:lastModifiedBy>Brooke Ike</cp:lastModifiedBy>
  <cp:revision>4</cp:revision>
  <dcterms:created xsi:type="dcterms:W3CDTF">2018-03-21T17:49:00Z</dcterms:created>
  <dcterms:modified xsi:type="dcterms:W3CDTF">2018-03-21T17:56:00Z</dcterms:modified>
</cp:coreProperties>
</file>