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4F" w:rsidRDefault="005E706C" w:rsidP="00B903CF">
      <w:pPr>
        <w:pStyle w:val="Heading1"/>
      </w:pPr>
      <w:bookmarkStart w:id="0" w:name="_GoBack"/>
      <w:bookmarkEnd w:id="0"/>
      <w:r>
        <w:t>Model o</w:t>
      </w:r>
      <w:r w:rsidR="00C057CA" w:rsidRPr="00ED1930">
        <w:t xml:space="preserve">pioid </w:t>
      </w:r>
      <w:r>
        <w:t xml:space="preserve">prescribing </w:t>
      </w:r>
      <w:r w:rsidR="00C057CA" w:rsidRPr="00ED1930">
        <w:t>polic</w:t>
      </w:r>
      <w:r>
        <w:t>y</w:t>
      </w:r>
    </w:p>
    <w:p w:rsidR="003355DE" w:rsidRPr="003355DE" w:rsidRDefault="003355DE" w:rsidP="00B903CF">
      <w:pPr>
        <w:pStyle w:val="BodyText"/>
      </w:pPr>
      <w:r>
        <w:t>This model policy was developed using the CDC Guidelines for Prescribing Opioids for Chronic Pain</w:t>
      </w:r>
      <w:r w:rsidR="00D07D63">
        <w:t>. It is</w:t>
      </w:r>
      <w:r w:rsidR="005D7BDA">
        <w:t xml:space="preserve"> an example </w:t>
      </w:r>
      <w:r w:rsidR="00D07D63">
        <w:t>policy</w:t>
      </w:r>
      <w:r w:rsidR="005D7BDA">
        <w:t xml:space="preserve"> clinics can modify and adopt when revising their policies.</w:t>
      </w:r>
    </w:p>
    <w:p w:rsidR="005E706C" w:rsidRDefault="005E706C" w:rsidP="00B903CF">
      <w:pPr>
        <w:pStyle w:val="BodyText"/>
      </w:pPr>
      <w:r w:rsidRPr="00483258">
        <w:rPr>
          <w:rStyle w:val="Strong"/>
        </w:rPr>
        <w:t>Revised</w:t>
      </w:r>
      <w:r w:rsidRPr="00483258">
        <w:t xml:space="preserve">: </w:t>
      </w:r>
      <w:r w:rsidR="004011A7">
        <w:rPr>
          <w:u w:val="single"/>
        </w:rPr>
        <w:t>DATE</w:t>
      </w:r>
    </w:p>
    <w:p w:rsidR="005E706C" w:rsidRPr="005E706C" w:rsidRDefault="005E706C" w:rsidP="00B903CF">
      <w:pPr>
        <w:pStyle w:val="BodyText"/>
      </w:pPr>
      <w:r w:rsidRPr="00B903CF">
        <w:rPr>
          <w:b/>
        </w:rPr>
        <w:t>Next review date</w:t>
      </w:r>
      <w:r>
        <w:t xml:space="preserve">: </w:t>
      </w:r>
      <w:r w:rsidR="004011A7">
        <w:rPr>
          <w:u w:val="single"/>
        </w:rPr>
        <w:t>DATE</w:t>
      </w:r>
    </w:p>
    <w:p w:rsidR="005E706C" w:rsidRPr="00483258" w:rsidRDefault="005E706C" w:rsidP="00B903CF">
      <w:pPr>
        <w:pStyle w:val="BodyText"/>
      </w:pPr>
      <w:r w:rsidRPr="00483258">
        <w:rPr>
          <w:rStyle w:val="Strong"/>
        </w:rPr>
        <w:t>Purpose</w:t>
      </w:r>
      <w:r w:rsidRPr="00483258">
        <w:t xml:space="preserve">: To standardize prescribing guidelines for </w:t>
      </w:r>
      <w:r w:rsidR="00E94F47">
        <w:t xml:space="preserve">non-cancer </w:t>
      </w:r>
      <w:r w:rsidRPr="00483258">
        <w:t>opioid</w:t>
      </w:r>
      <w:r w:rsidR="00E94F47">
        <w:t xml:space="preserve"> use</w:t>
      </w:r>
      <w:r w:rsidRPr="00483258">
        <w:t xml:space="preserve">. </w:t>
      </w:r>
    </w:p>
    <w:p w:rsidR="005E706C" w:rsidRPr="005E706C" w:rsidRDefault="005E706C" w:rsidP="00B903CF">
      <w:pPr>
        <w:pStyle w:val="BodyText"/>
        <w:rPr>
          <w:rStyle w:val="Strong"/>
          <w:b w:val="0"/>
        </w:rPr>
      </w:pPr>
      <w:r>
        <w:rPr>
          <w:rStyle w:val="Strong"/>
        </w:rPr>
        <w:t>Scope:</w:t>
      </w:r>
      <w:r>
        <w:rPr>
          <w:rStyle w:val="Strong"/>
          <w:b w:val="0"/>
        </w:rPr>
        <w:t xml:space="preserve"> This policy covers treatment of patients prescribed opioids, b</w:t>
      </w:r>
      <w:r w:rsidR="00F87B46">
        <w:rPr>
          <w:rStyle w:val="Strong"/>
          <w:b w:val="0"/>
        </w:rPr>
        <w:t>oth</w:t>
      </w:r>
      <w:r>
        <w:rPr>
          <w:rStyle w:val="Strong"/>
          <w:b w:val="0"/>
        </w:rPr>
        <w:t xml:space="preserve"> acutely and chronically. A patient on c</w:t>
      </w:r>
      <w:r>
        <w:t>hronic o</w:t>
      </w:r>
      <w:r w:rsidRPr="00483258">
        <w:t xml:space="preserve">pioid </w:t>
      </w:r>
      <w:r>
        <w:t>t</w:t>
      </w:r>
      <w:r w:rsidRPr="00483258">
        <w:t xml:space="preserve">herapy (COT) shall be defined as any patient who has received, or is expected to receive, regular opioid prescriptions with duration </w:t>
      </w:r>
      <w:r w:rsidR="00415188">
        <w:t>of</w:t>
      </w:r>
      <w:r w:rsidRPr="00483258">
        <w:t xml:space="preserve"> 90 days</w:t>
      </w:r>
      <w:r w:rsidR="00415188">
        <w:t xml:space="preserve"> or longer</w:t>
      </w:r>
      <w:r w:rsidRPr="00483258">
        <w:t>.</w:t>
      </w:r>
    </w:p>
    <w:p w:rsidR="00B7145E" w:rsidRDefault="00B7145E" w:rsidP="00B903CF">
      <w:pPr>
        <w:pStyle w:val="Heading2"/>
      </w:pPr>
      <w:r>
        <w:t>Prescribing opioids for acute pain</w:t>
      </w:r>
    </w:p>
    <w:p w:rsidR="00C12F26" w:rsidRDefault="00C12F26" w:rsidP="00B903CF">
      <w:pPr>
        <w:pStyle w:val="Bullet"/>
      </w:pPr>
      <w:r>
        <w:t xml:space="preserve">Encourage the use of non-opioid </w:t>
      </w:r>
      <w:r w:rsidR="00556E82">
        <w:t xml:space="preserve">and non-pharmacological </w:t>
      </w:r>
      <w:r>
        <w:t>modalities for acute pain</w:t>
      </w:r>
    </w:p>
    <w:p w:rsidR="002B2F79" w:rsidRDefault="002B2F79" w:rsidP="00B903CF">
      <w:pPr>
        <w:pStyle w:val="Bullet"/>
      </w:pPr>
      <w:r>
        <w:t>Prescribe the lowest effective dose of immediate-release opioids for acute pain</w:t>
      </w:r>
    </w:p>
    <w:p w:rsidR="00960775" w:rsidRDefault="008C7E0D" w:rsidP="00B903CF">
      <w:pPr>
        <w:pStyle w:val="Bullet"/>
      </w:pPr>
      <w:r>
        <w:t>Prescribing</w:t>
      </w:r>
      <w:r w:rsidR="00D53E76">
        <w:t xml:space="preserve"> 3 days or less of opioids will often be sufficient for acute pain; p</w:t>
      </w:r>
      <w:r w:rsidR="00960775">
        <w:t>rescribe no greater than 7 days o</w:t>
      </w:r>
      <w:r w:rsidR="00D53E76">
        <w:t>f opioids for acute pain</w:t>
      </w:r>
    </w:p>
    <w:p w:rsidR="002057E4" w:rsidRDefault="002057E4" w:rsidP="00B903CF">
      <w:pPr>
        <w:pStyle w:val="Bullet"/>
      </w:pPr>
      <w:r>
        <w:t>Do not prescribe methadone</w:t>
      </w:r>
      <w:r w:rsidR="00556E82">
        <w:t xml:space="preserve"> or extended-release opioids</w:t>
      </w:r>
      <w:r>
        <w:t xml:space="preserve"> for acute pain</w:t>
      </w:r>
    </w:p>
    <w:p w:rsidR="00960775" w:rsidRDefault="00960775" w:rsidP="00B903CF">
      <w:pPr>
        <w:pStyle w:val="Bullet"/>
      </w:pPr>
      <w:r>
        <w:t xml:space="preserve">Do not refill </w:t>
      </w:r>
      <w:r w:rsidR="002B2F79">
        <w:t xml:space="preserve">acute opioid prescriptions </w:t>
      </w:r>
      <w:r>
        <w:t>without seeing patients</w:t>
      </w:r>
    </w:p>
    <w:p w:rsidR="002B2F79" w:rsidRPr="00FD3D95" w:rsidRDefault="002B2F79" w:rsidP="00B903CF">
      <w:pPr>
        <w:pStyle w:val="BodyText"/>
      </w:pPr>
      <w:r w:rsidRPr="00FD3D95">
        <w:t>If opioids are prescribed for more than 3 months, this</w:t>
      </w:r>
      <w:r w:rsidR="00854AAC">
        <w:t xml:space="preserve"> is</w:t>
      </w:r>
      <w:r w:rsidRPr="00FD3D95">
        <w:t xml:space="preserve"> chronic opioid therapy</w:t>
      </w:r>
      <w:r w:rsidR="00854AAC">
        <w:t>;</w:t>
      </w:r>
      <w:r w:rsidRPr="00FD3D95">
        <w:t xml:space="preserve"> review and sign an Opioid Patient Agreement with the patient</w:t>
      </w:r>
      <w:r w:rsidR="00444712" w:rsidRPr="002A4C6D">
        <w:t>.</w:t>
      </w:r>
    </w:p>
    <w:p w:rsidR="00B7145E" w:rsidRPr="00B7145E" w:rsidRDefault="00F87B46" w:rsidP="00B903CF">
      <w:pPr>
        <w:pStyle w:val="Heading2"/>
      </w:pPr>
      <w:r>
        <w:t xml:space="preserve">Initial </w:t>
      </w:r>
      <w:r w:rsidR="00BB36E3">
        <w:t>p</w:t>
      </w:r>
      <w:r w:rsidR="00B7145E">
        <w:t xml:space="preserve">rescribing </w:t>
      </w:r>
      <w:r>
        <w:t xml:space="preserve">of </w:t>
      </w:r>
      <w:r w:rsidR="00B7145E">
        <w:t>opioids for chronic pain</w:t>
      </w:r>
    </w:p>
    <w:p w:rsidR="00C12F26" w:rsidRDefault="002B2F79" w:rsidP="00B903CF">
      <w:pPr>
        <w:pStyle w:val="Bullet"/>
      </w:pPr>
      <w:r>
        <w:t>Fully assess e</w:t>
      </w:r>
      <w:r w:rsidR="00C92845">
        <w:t>ach patient to identify a diagnosis for their chronic pain</w:t>
      </w:r>
    </w:p>
    <w:p w:rsidR="00833C63" w:rsidRDefault="00C12F26" w:rsidP="00B903CF">
      <w:pPr>
        <w:pStyle w:val="Bullet"/>
      </w:pPr>
      <w:r>
        <w:t xml:space="preserve">Do not prescribe </w:t>
      </w:r>
      <w:r w:rsidR="00C92845">
        <w:t xml:space="preserve">opioids </w:t>
      </w:r>
      <w:r w:rsidR="00444712">
        <w:t>for</w:t>
      </w:r>
      <w:r w:rsidR="00C92845">
        <w:t xml:space="preserve"> </w:t>
      </w:r>
      <w:r w:rsidR="00B337FB">
        <w:t xml:space="preserve">non-specific axial </w:t>
      </w:r>
      <w:r w:rsidR="00C92845">
        <w:t>lower back pain, fibromyalgia, and chronic headaches</w:t>
      </w:r>
    </w:p>
    <w:p w:rsidR="00C12F26" w:rsidRDefault="00C12F26" w:rsidP="00B903CF">
      <w:pPr>
        <w:pStyle w:val="Bullet"/>
      </w:pPr>
      <w:r>
        <w:t>Review and sign an opioid patient agreement</w:t>
      </w:r>
    </w:p>
    <w:p w:rsidR="00854AAC" w:rsidRDefault="00833C63" w:rsidP="00B903CF">
      <w:pPr>
        <w:pStyle w:val="Bullet"/>
      </w:pPr>
      <w:r>
        <w:t>Before prescribing opioids</w:t>
      </w:r>
      <w:r w:rsidR="00854AAC">
        <w:t>:</w:t>
      </w:r>
    </w:p>
    <w:p w:rsidR="00C92845" w:rsidRDefault="00854AAC" w:rsidP="00B903CF">
      <w:pPr>
        <w:pStyle w:val="Subbullet"/>
      </w:pPr>
      <w:r>
        <w:t>E</w:t>
      </w:r>
      <w:r w:rsidR="00833C63" w:rsidRPr="00483258">
        <w:t>valuate risk factors for opioid-related harms</w:t>
      </w:r>
      <w:r w:rsidR="00833C63">
        <w:t xml:space="preserve"> using the Opioid Risk Tool</w:t>
      </w:r>
      <w:r w:rsidR="00B337FB">
        <w:t xml:space="preserve">, or other guideline (AMDG or CDC) recommended opioid misuse assessment tool </w:t>
      </w:r>
    </w:p>
    <w:p w:rsidR="00854AAC" w:rsidRPr="00356A3F" w:rsidRDefault="00854AAC" w:rsidP="00B903CF">
      <w:pPr>
        <w:pStyle w:val="Subbullet"/>
      </w:pPr>
      <w:r>
        <w:t>Check the state prescription monitoring program</w:t>
      </w:r>
      <w:r w:rsidR="00C12F26">
        <w:t xml:space="preserve"> </w:t>
      </w:r>
      <w:r w:rsidR="00C12F26" w:rsidRPr="00356A3F">
        <w:t>database</w:t>
      </w:r>
      <w:r w:rsidR="00356A3F" w:rsidRPr="00356A3F">
        <w:t xml:space="preserve"> to determine whether the patient is receiving opioid dosages or dangerous combinations that put him or her at high risk for overdose</w:t>
      </w:r>
    </w:p>
    <w:p w:rsidR="00C12F26" w:rsidRDefault="00C12F26" w:rsidP="00B903CF">
      <w:pPr>
        <w:pStyle w:val="Subbullet"/>
      </w:pPr>
      <w:r>
        <w:t>Conduct a urine drug test screening</w:t>
      </w:r>
    </w:p>
    <w:p w:rsidR="00FD3D95" w:rsidRDefault="00FD3D95" w:rsidP="00B903CF">
      <w:pPr>
        <w:pStyle w:val="Bullet"/>
      </w:pPr>
      <w:r>
        <w:t xml:space="preserve">Only use opioid therapy </w:t>
      </w:r>
      <w:r w:rsidRPr="00483258">
        <w:t>if expected benefits for both pain and function are anticipated to outweigh risks to the patient</w:t>
      </w:r>
      <w:r>
        <w:t>; review risks with the patient</w:t>
      </w:r>
    </w:p>
    <w:p w:rsidR="009E0475" w:rsidRDefault="009E0475" w:rsidP="00B903CF">
      <w:pPr>
        <w:pStyle w:val="Bullet"/>
      </w:pPr>
      <w:r>
        <w:t>Avoid combination with sedatives, or sedative hypnotic drugs</w:t>
      </w:r>
    </w:p>
    <w:p w:rsidR="009E0475" w:rsidRDefault="009E0475" w:rsidP="00B903CF">
      <w:pPr>
        <w:pStyle w:val="Bullet"/>
      </w:pPr>
      <w:r>
        <w:t>Inform patient that combination of opioids with alcohol may be lethal</w:t>
      </w:r>
    </w:p>
    <w:p w:rsidR="009E0475" w:rsidRDefault="009E0475" w:rsidP="00B903CF">
      <w:pPr>
        <w:pStyle w:val="Bullet"/>
      </w:pPr>
      <w:r>
        <w:t xml:space="preserve">Prescribe naloxone “rescue” (nasal or injectable) to be administered by family or </w:t>
      </w:r>
      <w:r w:rsidR="008C7E0D">
        <w:t>caregivers if</w:t>
      </w:r>
      <w:r>
        <w:t xml:space="preserve"> patient is at higher doses (&gt;50 mg MED), or at risk for overdose or risk of respiratory </w:t>
      </w:r>
      <w:r w:rsidR="005F5362">
        <w:t>suppression due to sleep apnea.</w:t>
      </w:r>
    </w:p>
    <w:p w:rsidR="00FD3D95" w:rsidRPr="00C92845" w:rsidRDefault="00FD3D95" w:rsidP="00B903CF">
      <w:pPr>
        <w:pStyle w:val="Bullet"/>
      </w:pPr>
      <w:r>
        <w:t>Combine</w:t>
      </w:r>
      <w:r w:rsidRPr="00483258">
        <w:t xml:space="preserve"> opioid</w:t>
      </w:r>
      <w:r>
        <w:t xml:space="preserve">s </w:t>
      </w:r>
      <w:r w:rsidRPr="00483258">
        <w:t>with nonpharmacologic and nonopioid pharmacologic therapy, as appropriate</w:t>
      </w:r>
    </w:p>
    <w:p w:rsidR="00444712" w:rsidRDefault="00561588" w:rsidP="00B903CF">
      <w:pPr>
        <w:pStyle w:val="Heading3"/>
      </w:pPr>
      <w:r>
        <w:lastRenderedPageBreak/>
        <w:t>Prescription</w:t>
      </w:r>
    </w:p>
    <w:p w:rsidR="00444712" w:rsidRDefault="00444712" w:rsidP="00B903CF">
      <w:pPr>
        <w:pStyle w:val="Bullet"/>
      </w:pPr>
      <w:r>
        <w:t>Only prescribe the lowest effective dose of immediate-release opioids</w:t>
      </w:r>
    </w:p>
    <w:p w:rsidR="00DB3C2D" w:rsidRPr="00483258" w:rsidRDefault="00833C63" w:rsidP="00B903CF">
      <w:pPr>
        <w:pStyle w:val="Bullet"/>
      </w:pPr>
      <w:r>
        <w:t>A</w:t>
      </w:r>
      <w:r w:rsidR="00DB3C2D" w:rsidRPr="00483258">
        <w:t>void increasing dosage to ≥</w:t>
      </w:r>
      <w:r w:rsidR="00E94F94">
        <w:t>50</w:t>
      </w:r>
      <w:r w:rsidR="00DB3C2D" w:rsidRPr="00483258">
        <w:t xml:space="preserve"> </w:t>
      </w:r>
      <w:r w:rsidR="00A8777F">
        <w:t>MED</w:t>
      </w:r>
      <w:r w:rsidR="00DB3C2D" w:rsidRPr="00483258">
        <w:t>/day or carefully justify a decision to titrate dosage to ≥90 M</w:t>
      </w:r>
      <w:r w:rsidR="00A8777F">
        <w:t>ED</w:t>
      </w:r>
      <w:r w:rsidR="00DB3C2D" w:rsidRPr="00483258">
        <w:t>/day</w:t>
      </w:r>
    </w:p>
    <w:p w:rsidR="00833C63" w:rsidRDefault="00833C63" w:rsidP="00B903CF">
      <w:pPr>
        <w:pStyle w:val="Heading3"/>
      </w:pPr>
      <w:r>
        <w:t>Treatment goals</w:t>
      </w:r>
    </w:p>
    <w:p w:rsidR="00833C63" w:rsidRDefault="00833C63" w:rsidP="00B903CF">
      <w:pPr>
        <w:pStyle w:val="Bullet"/>
      </w:pPr>
      <w:r>
        <w:t>E</w:t>
      </w:r>
      <w:r w:rsidRPr="00483258">
        <w:t>stablish treatment goals with all patients</w:t>
      </w:r>
      <w:r>
        <w:t xml:space="preserve"> b</w:t>
      </w:r>
      <w:r w:rsidRPr="00483258">
        <w:t>efore starting opioid therapy</w:t>
      </w:r>
      <w:r>
        <w:t xml:space="preserve"> for chronic pain</w:t>
      </w:r>
      <w:r w:rsidRPr="00483258">
        <w:t>, including realistic goals for pain and function</w:t>
      </w:r>
    </w:p>
    <w:p w:rsidR="00833C63" w:rsidRPr="00483258" w:rsidRDefault="00833C63" w:rsidP="00B903CF">
      <w:pPr>
        <w:pStyle w:val="Bullet"/>
      </w:pPr>
      <w:r>
        <w:t xml:space="preserve">Within 1 to 4 weeks of starting opioid therapy for chronic pain, evaluate benefits and risks; </w:t>
      </w:r>
      <w:r w:rsidRPr="00261DEE">
        <w:rPr>
          <w:b/>
          <w:i/>
          <w:u w:val="single"/>
        </w:rPr>
        <w:t>only</w:t>
      </w:r>
      <w:r>
        <w:t xml:space="preserve"> continue opioid therapy</w:t>
      </w:r>
      <w:r w:rsidRPr="00483258">
        <w:t xml:space="preserve"> if there is clinically meaningful improvement in pain and function that outweighs risks to patient safety</w:t>
      </w:r>
    </w:p>
    <w:p w:rsidR="00444712" w:rsidRPr="007C7F75" w:rsidRDefault="00444712" w:rsidP="00B903CF">
      <w:pPr>
        <w:pStyle w:val="BodyText"/>
      </w:pPr>
      <w:r w:rsidRPr="007C7F75">
        <w:t>If opioids are prescribed for more than 3 months, this</w:t>
      </w:r>
      <w:r w:rsidR="00854AAC">
        <w:t xml:space="preserve"> is</w:t>
      </w:r>
      <w:r w:rsidRPr="007C7F75">
        <w:t xml:space="preserve"> chronic opioid therapy</w:t>
      </w:r>
      <w:r w:rsidR="00854AAC">
        <w:t>;</w:t>
      </w:r>
      <w:r w:rsidRPr="007C7F75">
        <w:t xml:space="preserve"> review and sign an Opioid Patient Agreement with the patient.</w:t>
      </w:r>
    </w:p>
    <w:p w:rsidR="00DD07C3" w:rsidRDefault="006661B8" w:rsidP="00B903CF">
      <w:pPr>
        <w:pStyle w:val="Heading2"/>
      </w:pPr>
      <w:r>
        <w:t>New</w:t>
      </w:r>
      <w:r w:rsidR="00DD07C3">
        <w:t xml:space="preserve"> patients</w:t>
      </w:r>
      <w:r w:rsidR="006061D7">
        <w:t xml:space="preserve"> already on chronic opioid therapy</w:t>
      </w:r>
    </w:p>
    <w:p w:rsidR="004D69BC" w:rsidRPr="004D69BC" w:rsidRDefault="004D69BC" w:rsidP="00B903CF">
      <w:pPr>
        <w:pStyle w:val="Bullet"/>
      </w:pPr>
      <w:r w:rsidRPr="004D69BC">
        <w:t>Notify all new patients that they might not receive opioids during the initial visit, even if they are currently taking prescription opioids from a previous clinician. Ask them to bring their medical records related to their chronic pain care to their first appointment.</w:t>
      </w:r>
    </w:p>
    <w:p w:rsidR="006247CB" w:rsidRDefault="002B2F79" w:rsidP="00B903CF">
      <w:pPr>
        <w:pStyle w:val="Bullet"/>
      </w:pPr>
      <w:r>
        <w:t>Perform the following procedures</w:t>
      </w:r>
      <w:r w:rsidR="006247CB">
        <w:t xml:space="preserve"> before deciding whether to continue the patient’s chronic opioid therapy:</w:t>
      </w:r>
    </w:p>
    <w:p w:rsidR="00833C63" w:rsidRDefault="00833C63" w:rsidP="00B903CF">
      <w:pPr>
        <w:pStyle w:val="Subbullet"/>
      </w:pPr>
      <w:r>
        <w:t>Risk assessment using the Opioid Risk Tool</w:t>
      </w:r>
    </w:p>
    <w:p w:rsidR="006247CB" w:rsidRDefault="006247CB" w:rsidP="00B903CF">
      <w:pPr>
        <w:pStyle w:val="Subbullet"/>
      </w:pPr>
      <w:r>
        <w:t>U</w:t>
      </w:r>
      <w:r w:rsidR="00DD07C3" w:rsidRPr="00483258">
        <w:t>rine drug test</w:t>
      </w:r>
    </w:p>
    <w:p w:rsidR="006247CB" w:rsidRDefault="006247CB" w:rsidP="00B903CF">
      <w:pPr>
        <w:pStyle w:val="Subbullet"/>
      </w:pPr>
      <w:r>
        <w:t>R</w:t>
      </w:r>
      <w:r w:rsidR="00DD07C3" w:rsidRPr="00483258">
        <w:t xml:space="preserve">eview </w:t>
      </w:r>
      <w:r w:rsidR="00DD07C3">
        <w:t>the state prescription monitoring</w:t>
      </w:r>
      <w:r w:rsidR="00786665">
        <w:t xml:space="preserve"> program</w:t>
      </w:r>
      <w:r w:rsidR="00DD07C3">
        <w:t xml:space="preserve"> database</w:t>
      </w:r>
    </w:p>
    <w:p w:rsidR="006247CB" w:rsidRDefault="006247CB" w:rsidP="00B903CF">
      <w:pPr>
        <w:pStyle w:val="Subbullet"/>
      </w:pPr>
      <w:r>
        <w:t>R</w:t>
      </w:r>
      <w:r w:rsidR="00077EA6">
        <w:t>equest and</w:t>
      </w:r>
      <w:r w:rsidR="00DD07C3" w:rsidRPr="00483258">
        <w:t xml:space="preserve"> review medical records</w:t>
      </w:r>
      <w:r w:rsidR="00BF3139">
        <w:t xml:space="preserve"> </w:t>
      </w:r>
    </w:p>
    <w:p w:rsidR="006247CB" w:rsidRDefault="006247CB" w:rsidP="00B903CF">
      <w:pPr>
        <w:pStyle w:val="Subbullet"/>
      </w:pPr>
      <w:r>
        <w:t>Calculate morphine equivalency</w:t>
      </w:r>
    </w:p>
    <w:p w:rsidR="003F1446" w:rsidRDefault="006247CB" w:rsidP="00B903CF">
      <w:pPr>
        <w:pStyle w:val="Bullet"/>
      </w:pPr>
      <w:r>
        <w:t xml:space="preserve">If </w:t>
      </w:r>
      <w:r w:rsidR="00AF6DE0">
        <w:t>appropriate</w:t>
      </w:r>
      <w:r>
        <w:t xml:space="preserve">, implement a tapering protocol. </w:t>
      </w:r>
      <w:r w:rsidR="009E0475">
        <w:t>A tapering plan need not be initiated at initial visit</w:t>
      </w:r>
      <w:r w:rsidR="00AC6D30">
        <w:t xml:space="preserve">, and </w:t>
      </w:r>
      <w:r w:rsidR="00AC6D30" w:rsidRPr="00261DEE">
        <w:t>very slow opioid tapers as well as pauses in the taper allow gradual accommodation to lower opioid dosages.</w:t>
      </w:r>
    </w:p>
    <w:p w:rsidR="00DD07C3" w:rsidRDefault="006247CB" w:rsidP="00B903CF">
      <w:pPr>
        <w:pStyle w:val="Bullet"/>
      </w:pPr>
      <w:r>
        <w:t>If the patient chooses not to follow the taper</w:t>
      </w:r>
      <w:r w:rsidR="00BF3139">
        <w:t>ing</w:t>
      </w:r>
      <w:r>
        <w:t xml:space="preserve"> regimen, they will not receive chronic opioid therapy from </w:t>
      </w:r>
      <w:r w:rsidRPr="003F1446">
        <w:rPr>
          <w:u w:val="single"/>
        </w:rPr>
        <w:t>our organization</w:t>
      </w:r>
      <w:r>
        <w:t>.</w:t>
      </w:r>
      <w:r w:rsidR="00817143">
        <w:t xml:space="preserve"> However, it is important to continue offering primary care to this patient.</w:t>
      </w:r>
    </w:p>
    <w:p w:rsidR="00B85BC2" w:rsidRDefault="00B85BC2" w:rsidP="00B903CF">
      <w:pPr>
        <w:pStyle w:val="Heading2"/>
      </w:pPr>
      <w:r>
        <w:t>Managing patients established on chronic opioid therapy</w:t>
      </w:r>
    </w:p>
    <w:p w:rsidR="00267E3E" w:rsidRPr="00483258" w:rsidRDefault="00B85BC2" w:rsidP="00B903CF">
      <w:pPr>
        <w:pStyle w:val="Heading3"/>
      </w:pPr>
      <w:r>
        <w:t>Assessment schedule</w:t>
      </w:r>
    </w:p>
    <w:p w:rsidR="00A23714" w:rsidRPr="00A23714" w:rsidRDefault="00A23714" w:rsidP="00B903CF">
      <w:pPr>
        <w:pStyle w:val="BodyText"/>
      </w:pPr>
      <w:r>
        <w:t>Use the following assessment schedule for patients on chronic opioid therapy.</w:t>
      </w:r>
    </w:p>
    <w:tbl>
      <w:tblPr>
        <w:tblStyle w:val="GridTable4-Accent11"/>
        <w:tblW w:w="9985" w:type="dxa"/>
        <w:tblLook w:val="04A0" w:firstRow="1" w:lastRow="0" w:firstColumn="1" w:lastColumn="0" w:noHBand="0" w:noVBand="1"/>
      </w:tblPr>
      <w:tblGrid>
        <w:gridCol w:w="2605"/>
        <w:gridCol w:w="3150"/>
        <w:gridCol w:w="4230"/>
      </w:tblGrid>
      <w:tr w:rsidR="00A23714" w:rsidRPr="00C031FF" w:rsidTr="00A5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2057E4" w:rsidRPr="00FD3D95" w:rsidRDefault="002057E4" w:rsidP="00B903CF">
            <w:pPr>
              <w:pStyle w:val="Tableheader"/>
            </w:pPr>
            <w:r w:rsidRPr="00C031FF">
              <w:t>Content</w:t>
            </w:r>
          </w:p>
        </w:tc>
        <w:tc>
          <w:tcPr>
            <w:tcW w:w="3150" w:type="dxa"/>
          </w:tcPr>
          <w:p w:rsidR="002057E4" w:rsidRPr="00FD3D95" w:rsidRDefault="00A23714" w:rsidP="00B903CF">
            <w:pPr>
              <w:pStyle w:val="Tableheader"/>
              <w:cnfStyle w:val="100000000000" w:firstRow="1" w:lastRow="0" w:firstColumn="0" w:lastColumn="0" w:oddVBand="0" w:evenVBand="0" w:oddHBand="0" w:evenHBand="0" w:firstRowFirstColumn="0" w:firstRowLastColumn="0" w:lastRowFirstColumn="0" w:lastRowLastColumn="0"/>
            </w:pPr>
            <w:r>
              <w:t>M</w:t>
            </w:r>
            <w:r w:rsidR="002057E4" w:rsidRPr="00C031FF">
              <w:t>easurement tool</w:t>
            </w:r>
          </w:p>
        </w:tc>
        <w:tc>
          <w:tcPr>
            <w:tcW w:w="4230" w:type="dxa"/>
          </w:tcPr>
          <w:p w:rsidR="002057E4" w:rsidRPr="00FD3D95" w:rsidRDefault="002057E4" w:rsidP="00B903CF">
            <w:pPr>
              <w:pStyle w:val="Tableheader"/>
              <w:cnfStyle w:val="100000000000" w:firstRow="1" w:lastRow="0" w:firstColumn="0" w:lastColumn="0" w:oddVBand="0" w:evenVBand="0" w:oddHBand="0" w:evenHBand="0" w:firstRowFirstColumn="0" w:firstRowLastColumn="0" w:lastRowFirstColumn="0" w:lastRowLastColumn="0"/>
            </w:pPr>
            <w:r w:rsidRPr="00C031FF">
              <w:t>Frequency</w:t>
            </w:r>
          </w:p>
        </w:tc>
      </w:tr>
      <w:tr w:rsidR="00A23714" w:rsidTr="00B9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A23714" w:rsidRPr="004011A7" w:rsidRDefault="00A23714" w:rsidP="00B903CF">
            <w:pPr>
              <w:pStyle w:val="TableParagraph"/>
            </w:pPr>
            <w:r w:rsidRPr="004011A7">
              <w:t>Risk for opioid dependence and addiction</w:t>
            </w:r>
          </w:p>
        </w:tc>
        <w:tc>
          <w:tcPr>
            <w:tcW w:w="3150" w:type="dxa"/>
            <w:shd w:val="clear" w:color="auto" w:fill="auto"/>
          </w:tcPr>
          <w:p w:rsidR="00A23714" w:rsidRPr="0060185F" w:rsidRDefault="00A23714" w:rsidP="00B903CF">
            <w:pPr>
              <w:pStyle w:val="TableParagraph"/>
              <w:cnfStyle w:val="000000100000" w:firstRow="0" w:lastRow="0" w:firstColumn="0" w:lastColumn="0" w:oddVBand="0" w:evenVBand="0" w:oddHBand="1" w:evenHBand="0" w:firstRowFirstColumn="0" w:firstRowLastColumn="0" w:lastRowFirstColumn="0" w:lastRowLastColumn="0"/>
            </w:pPr>
            <w:r w:rsidRPr="0060185F">
              <w:t>Opioid Risk Tool (ORT)</w:t>
            </w:r>
          </w:p>
        </w:tc>
        <w:tc>
          <w:tcPr>
            <w:tcW w:w="4230" w:type="dxa"/>
            <w:shd w:val="clear" w:color="auto" w:fill="auto"/>
          </w:tcPr>
          <w:p w:rsidR="00A23714" w:rsidRPr="0060185F" w:rsidRDefault="00A23714" w:rsidP="00B903CF">
            <w:pPr>
              <w:pStyle w:val="TableParagraph"/>
              <w:cnfStyle w:val="000000100000" w:firstRow="0" w:lastRow="0" w:firstColumn="0" w:lastColumn="0" w:oddVBand="0" w:evenVBand="0" w:oddHBand="1" w:evenHBand="0" w:firstRowFirstColumn="0" w:firstRowLastColumn="0" w:lastRowFirstColumn="0" w:lastRowLastColumn="0"/>
            </w:pPr>
            <w:r>
              <w:t>Start of opioid therapy</w:t>
            </w:r>
          </w:p>
        </w:tc>
      </w:tr>
      <w:tr w:rsidR="00A23714" w:rsidTr="00B903CF">
        <w:tc>
          <w:tcPr>
            <w:cnfStyle w:val="001000000000" w:firstRow="0" w:lastRow="0" w:firstColumn="1" w:lastColumn="0" w:oddVBand="0" w:evenVBand="0" w:oddHBand="0" w:evenHBand="0" w:firstRowFirstColumn="0" w:firstRowLastColumn="0" w:lastRowFirstColumn="0" w:lastRowLastColumn="0"/>
            <w:tcW w:w="2605" w:type="dxa"/>
            <w:shd w:val="clear" w:color="auto" w:fill="DEEAF6" w:themeFill="accent1" w:themeFillTint="33"/>
          </w:tcPr>
          <w:p w:rsidR="00A23714" w:rsidRPr="004011A7" w:rsidRDefault="00A23714" w:rsidP="00B903CF">
            <w:pPr>
              <w:pStyle w:val="TableParagraph"/>
            </w:pPr>
            <w:r w:rsidRPr="004011A7">
              <w:t>ID current substances used</w:t>
            </w:r>
          </w:p>
        </w:tc>
        <w:tc>
          <w:tcPr>
            <w:tcW w:w="3150" w:type="dxa"/>
            <w:shd w:val="clear" w:color="auto" w:fill="auto"/>
          </w:tcPr>
          <w:p w:rsidR="00A23714" w:rsidRPr="0060185F" w:rsidRDefault="00A23714" w:rsidP="00B903CF">
            <w:pPr>
              <w:pStyle w:val="TableParagraph"/>
              <w:cnfStyle w:val="000000000000" w:firstRow="0" w:lastRow="0" w:firstColumn="0" w:lastColumn="0" w:oddVBand="0" w:evenVBand="0" w:oddHBand="0" w:evenHBand="0" w:firstRowFirstColumn="0" w:firstRowLastColumn="0" w:lastRowFirstColumn="0" w:lastRowLastColumn="0"/>
            </w:pPr>
            <w:r w:rsidRPr="0060185F">
              <w:t>Urine drug test</w:t>
            </w:r>
          </w:p>
        </w:tc>
        <w:tc>
          <w:tcPr>
            <w:tcW w:w="4230" w:type="dxa"/>
            <w:shd w:val="clear" w:color="auto" w:fill="auto"/>
          </w:tcPr>
          <w:p w:rsidR="00A23714" w:rsidRPr="0060185F" w:rsidRDefault="00A23714" w:rsidP="00B903CF">
            <w:pPr>
              <w:pStyle w:val="TableParagraph"/>
              <w:cnfStyle w:val="000000000000" w:firstRow="0" w:lastRow="0" w:firstColumn="0" w:lastColumn="0" w:oddVBand="0" w:evenVBand="0" w:oddHBand="0" w:evenHBand="0" w:firstRowFirstColumn="0" w:firstRowLastColumn="0" w:lastRowFirstColumn="0" w:lastRowLastColumn="0"/>
            </w:pPr>
            <w:r>
              <w:t xml:space="preserve">Start of opioid therapy and </w:t>
            </w:r>
            <w:r w:rsidR="00BF3139">
              <w:t xml:space="preserve">at least </w:t>
            </w:r>
            <w:r>
              <w:t>e</w:t>
            </w:r>
            <w:r w:rsidRPr="0060185F">
              <w:t>very 6 months</w:t>
            </w:r>
            <w:r>
              <w:t xml:space="preserve"> (random)</w:t>
            </w:r>
          </w:p>
        </w:tc>
      </w:tr>
      <w:tr w:rsidR="00A23714" w:rsidTr="00B9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A23714" w:rsidRPr="004011A7" w:rsidRDefault="00A23714" w:rsidP="00B903CF">
            <w:pPr>
              <w:pStyle w:val="TableParagraph"/>
            </w:pPr>
            <w:r w:rsidRPr="004011A7">
              <w:t>ID current medications prescribed</w:t>
            </w:r>
          </w:p>
        </w:tc>
        <w:tc>
          <w:tcPr>
            <w:tcW w:w="3150" w:type="dxa"/>
            <w:shd w:val="clear" w:color="auto" w:fill="auto"/>
          </w:tcPr>
          <w:p w:rsidR="00A23714" w:rsidRPr="0060185F" w:rsidRDefault="00A23714" w:rsidP="00B903CF">
            <w:pPr>
              <w:pStyle w:val="TableParagraph"/>
              <w:cnfStyle w:val="000000100000" w:firstRow="0" w:lastRow="0" w:firstColumn="0" w:lastColumn="0" w:oddVBand="0" w:evenVBand="0" w:oddHBand="1" w:evenHBand="0" w:firstRowFirstColumn="0" w:firstRowLastColumn="0" w:lastRowFirstColumn="0" w:lastRowLastColumn="0"/>
            </w:pPr>
            <w:r w:rsidRPr="0060185F">
              <w:t xml:space="preserve">State </w:t>
            </w:r>
            <w:r>
              <w:t>prescription monitoring program</w:t>
            </w:r>
          </w:p>
        </w:tc>
        <w:tc>
          <w:tcPr>
            <w:tcW w:w="4230" w:type="dxa"/>
            <w:shd w:val="clear" w:color="auto" w:fill="auto"/>
          </w:tcPr>
          <w:p w:rsidR="00A23714" w:rsidRPr="0060185F" w:rsidRDefault="00A23714" w:rsidP="00B903CF">
            <w:pPr>
              <w:pStyle w:val="TableParagraph"/>
              <w:cnfStyle w:val="000000100000" w:firstRow="0" w:lastRow="0" w:firstColumn="0" w:lastColumn="0" w:oddVBand="0" w:evenVBand="0" w:oddHBand="1" w:evenHBand="0" w:firstRowFirstColumn="0" w:firstRowLastColumn="0" w:lastRowFirstColumn="0" w:lastRowLastColumn="0"/>
            </w:pPr>
            <w:r>
              <w:t xml:space="preserve">Start of opioid therapy and </w:t>
            </w:r>
            <w:r w:rsidR="00BF3139">
              <w:t xml:space="preserve">at least </w:t>
            </w:r>
            <w:r>
              <w:t>e</w:t>
            </w:r>
            <w:r w:rsidR="00356A3F">
              <w:t>very 3</w:t>
            </w:r>
            <w:r w:rsidRPr="0060185F">
              <w:t xml:space="preserve"> months</w:t>
            </w:r>
          </w:p>
        </w:tc>
      </w:tr>
      <w:tr w:rsidR="00A23714" w:rsidTr="00B903CF">
        <w:tc>
          <w:tcPr>
            <w:cnfStyle w:val="001000000000" w:firstRow="0" w:lastRow="0" w:firstColumn="1" w:lastColumn="0" w:oddVBand="0" w:evenVBand="0" w:oddHBand="0" w:evenHBand="0" w:firstRowFirstColumn="0" w:firstRowLastColumn="0" w:lastRowFirstColumn="0" w:lastRowLastColumn="0"/>
            <w:tcW w:w="2605" w:type="dxa"/>
            <w:shd w:val="clear" w:color="auto" w:fill="DEEAF6" w:themeFill="accent1" w:themeFillTint="33"/>
          </w:tcPr>
          <w:p w:rsidR="00A23714" w:rsidRPr="004011A7" w:rsidRDefault="00A23714" w:rsidP="00B903CF">
            <w:pPr>
              <w:pStyle w:val="TableParagraph"/>
            </w:pPr>
            <w:r w:rsidRPr="004011A7">
              <w:t>Informed consent &amp; risk education</w:t>
            </w:r>
          </w:p>
        </w:tc>
        <w:tc>
          <w:tcPr>
            <w:tcW w:w="3150" w:type="dxa"/>
            <w:shd w:val="clear" w:color="auto" w:fill="auto"/>
          </w:tcPr>
          <w:p w:rsidR="00A23714" w:rsidRPr="0060185F" w:rsidRDefault="00A23714" w:rsidP="00B903CF">
            <w:pPr>
              <w:pStyle w:val="TableParagraph"/>
              <w:cnfStyle w:val="000000000000" w:firstRow="0" w:lastRow="0" w:firstColumn="0" w:lastColumn="0" w:oddVBand="0" w:evenVBand="0" w:oddHBand="0" w:evenHBand="0" w:firstRowFirstColumn="0" w:firstRowLastColumn="0" w:lastRowFirstColumn="0" w:lastRowLastColumn="0"/>
            </w:pPr>
            <w:r w:rsidRPr="0060185F">
              <w:t>Patient Agreement</w:t>
            </w:r>
          </w:p>
        </w:tc>
        <w:tc>
          <w:tcPr>
            <w:tcW w:w="4230" w:type="dxa"/>
            <w:shd w:val="clear" w:color="auto" w:fill="auto"/>
          </w:tcPr>
          <w:p w:rsidR="00A23714" w:rsidRPr="0060185F" w:rsidRDefault="00A23714" w:rsidP="00B903CF">
            <w:pPr>
              <w:pStyle w:val="TableParagraph"/>
              <w:cnfStyle w:val="000000000000" w:firstRow="0" w:lastRow="0" w:firstColumn="0" w:lastColumn="0" w:oddVBand="0" w:evenVBand="0" w:oddHBand="0" w:evenHBand="0" w:firstRowFirstColumn="0" w:firstRowLastColumn="0" w:lastRowFirstColumn="0" w:lastRowLastColumn="0"/>
            </w:pPr>
            <w:r>
              <w:t>Start of chronic opioid therapy; annually</w:t>
            </w:r>
          </w:p>
        </w:tc>
      </w:tr>
      <w:tr w:rsidR="00A23714" w:rsidRPr="003C5A26" w:rsidTr="00B9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405876" w:rsidP="00B903CF">
            <w:pPr>
              <w:pStyle w:val="TableParagraph"/>
            </w:pPr>
            <w:r>
              <w:lastRenderedPageBreak/>
              <w:t>Calculation of morphine equivalent dosing</w:t>
            </w:r>
          </w:p>
        </w:tc>
        <w:tc>
          <w:tcPr>
            <w:tcW w:w="3150" w:type="dxa"/>
            <w:shd w:val="clear" w:color="auto" w:fill="auto"/>
          </w:tcPr>
          <w:p w:rsidR="002057E4" w:rsidRDefault="002057E4" w:rsidP="00B903CF">
            <w:pPr>
              <w:pStyle w:val="TableParagraph"/>
              <w:cnfStyle w:val="000000100000" w:firstRow="0" w:lastRow="0" w:firstColumn="0" w:lastColumn="0" w:oddVBand="0" w:evenVBand="0" w:oddHBand="1" w:evenHBand="0" w:firstRowFirstColumn="0" w:firstRowLastColumn="0" w:lastRowFirstColumn="0" w:lastRowLastColumn="0"/>
            </w:pPr>
            <w:r>
              <w:t>Morphine Equivalent Dose (MED)</w:t>
            </w:r>
          </w:p>
        </w:tc>
        <w:tc>
          <w:tcPr>
            <w:tcW w:w="4230" w:type="dxa"/>
            <w:shd w:val="clear" w:color="auto" w:fill="auto"/>
          </w:tcPr>
          <w:p w:rsidR="002057E4" w:rsidRDefault="002057E4" w:rsidP="00B903CF">
            <w:pPr>
              <w:pStyle w:val="TableParagraph"/>
              <w:cnfStyle w:val="000000100000" w:firstRow="0" w:lastRow="0" w:firstColumn="0" w:lastColumn="0" w:oddVBand="0" w:evenVBand="0" w:oddHBand="1" w:evenHBand="0" w:firstRowFirstColumn="0" w:firstRowLastColumn="0" w:lastRowFirstColumn="0" w:lastRowLastColumn="0"/>
            </w:pPr>
            <w:r>
              <w:t xml:space="preserve">Every change in </w:t>
            </w:r>
            <w:r w:rsidR="00F13A4E">
              <w:t xml:space="preserve">opioid </w:t>
            </w:r>
            <w:r>
              <w:t>prescription</w:t>
            </w:r>
          </w:p>
        </w:tc>
      </w:tr>
      <w:tr w:rsidR="00A23714" w:rsidRPr="003C5A26" w:rsidTr="00B903CF">
        <w:tc>
          <w:tcPr>
            <w:cnfStyle w:val="001000000000" w:firstRow="0" w:lastRow="0" w:firstColumn="1" w:lastColumn="0" w:oddVBand="0" w:evenVBand="0" w:oddHBand="0" w:evenHBand="0" w:firstRowFirstColumn="0" w:firstRowLastColumn="0" w:lastRowFirstColumn="0" w:lastRowLastColumn="0"/>
            <w:tcW w:w="2605" w:type="dxa"/>
            <w:shd w:val="clear" w:color="auto" w:fill="DEEAF6" w:themeFill="accent1" w:themeFillTint="33"/>
          </w:tcPr>
          <w:p w:rsidR="002057E4" w:rsidRPr="004011A7" w:rsidRDefault="004011A7" w:rsidP="00B903CF">
            <w:pPr>
              <w:pStyle w:val="TableParagraph"/>
            </w:pPr>
            <w:r>
              <w:t>Patient f</w:t>
            </w:r>
            <w:r w:rsidR="002057E4" w:rsidRPr="004011A7">
              <w:t>unction</w:t>
            </w:r>
          </w:p>
        </w:tc>
        <w:tc>
          <w:tcPr>
            <w:tcW w:w="3150" w:type="dxa"/>
            <w:shd w:val="clear" w:color="auto" w:fill="auto"/>
          </w:tcPr>
          <w:p w:rsidR="002057E4" w:rsidRPr="003C5A26" w:rsidRDefault="002057E4" w:rsidP="00B903CF">
            <w:pPr>
              <w:pStyle w:val="TableParagraph"/>
              <w:cnfStyle w:val="000000000000" w:firstRow="0" w:lastRow="0" w:firstColumn="0" w:lastColumn="0" w:oddVBand="0" w:evenVBand="0" w:oddHBand="0" w:evenHBand="0" w:firstRowFirstColumn="0" w:firstRowLastColumn="0" w:lastRowFirstColumn="0" w:lastRowLastColumn="0"/>
            </w:pPr>
            <w:r>
              <w:t>Pain, Enjoyment, General activity (PEG)</w:t>
            </w:r>
          </w:p>
        </w:tc>
        <w:tc>
          <w:tcPr>
            <w:tcW w:w="4230" w:type="dxa"/>
            <w:shd w:val="clear" w:color="auto" w:fill="auto"/>
          </w:tcPr>
          <w:p w:rsidR="002057E4" w:rsidRPr="003C5A26" w:rsidRDefault="002057E4" w:rsidP="00B903CF">
            <w:pPr>
              <w:pStyle w:val="TableParagraph"/>
              <w:cnfStyle w:val="000000000000" w:firstRow="0" w:lastRow="0" w:firstColumn="0" w:lastColumn="0" w:oddVBand="0" w:evenVBand="0" w:oddHBand="0" w:evenHBand="0" w:firstRowFirstColumn="0" w:firstRowLastColumn="0" w:lastRowFirstColumn="0" w:lastRowLastColumn="0"/>
            </w:pPr>
            <w:r>
              <w:t>Every appointment</w:t>
            </w:r>
          </w:p>
        </w:tc>
      </w:tr>
      <w:tr w:rsidR="00A23714" w:rsidTr="00B9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A23714" w:rsidRPr="004011A7" w:rsidRDefault="00A23714" w:rsidP="00B903CF">
            <w:pPr>
              <w:pStyle w:val="TableParagraph"/>
            </w:pPr>
            <w:r w:rsidRPr="004011A7">
              <w:t>Anxiety, depression</w:t>
            </w:r>
          </w:p>
        </w:tc>
        <w:tc>
          <w:tcPr>
            <w:tcW w:w="3150" w:type="dxa"/>
            <w:shd w:val="clear" w:color="auto" w:fill="auto"/>
          </w:tcPr>
          <w:p w:rsidR="00A23714" w:rsidRPr="0060185F" w:rsidRDefault="00A23714" w:rsidP="00B903CF">
            <w:pPr>
              <w:pStyle w:val="TableParagraph"/>
              <w:cnfStyle w:val="000000100000" w:firstRow="0" w:lastRow="0" w:firstColumn="0" w:lastColumn="0" w:oddVBand="0" w:evenVBand="0" w:oddHBand="1" w:evenHBand="0" w:firstRowFirstColumn="0" w:firstRowLastColumn="0" w:lastRowFirstColumn="0" w:lastRowLastColumn="0"/>
            </w:pPr>
            <w:r>
              <w:t>Patient Health Questionnaire (PHQ)</w:t>
            </w:r>
            <w:r w:rsidR="004011A7">
              <w:t>, GAD-7</w:t>
            </w:r>
          </w:p>
        </w:tc>
        <w:tc>
          <w:tcPr>
            <w:tcW w:w="4230" w:type="dxa"/>
            <w:shd w:val="clear" w:color="auto" w:fill="auto"/>
          </w:tcPr>
          <w:p w:rsidR="00A23714" w:rsidRPr="0060185F" w:rsidRDefault="00BF3139" w:rsidP="00B903CF">
            <w:pPr>
              <w:pStyle w:val="TableParagraph"/>
              <w:cnfStyle w:val="000000100000" w:firstRow="0" w:lastRow="0" w:firstColumn="0" w:lastColumn="0" w:oddVBand="0" w:evenVBand="0" w:oddHBand="1" w:evenHBand="0" w:firstRowFirstColumn="0" w:firstRowLastColumn="0" w:lastRowFirstColumn="0" w:lastRowLastColumn="0"/>
            </w:pPr>
            <w:r>
              <w:t>At least e</w:t>
            </w:r>
            <w:r w:rsidR="00A23714" w:rsidRPr="0060185F">
              <w:t>very 6 months</w:t>
            </w:r>
          </w:p>
        </w:tc>
      </w:tr>
      <w:tr w:rsidR="00A23714" w:rsidTr="00B903CF">
        <w:tc>
          <w:tcPr>
            <w:cnfStyle w:val="001000000000" w:firstRow="0" w:lastRow="0" w:firstColumn="1" w:lastColumn="0" w:oddVBand="0" w:evenVBand="0" w:oddHBand="0" w:evenHBand="0" w:firstRowFirstColumn="0" w:firstRowLastColumn="0" w:lastRowFirstColumn="0" w:lastRowLastColumn="0"/>
            <w:tcW w:w="2605" w:type="dxa"/>
            <w:shd w:val="clear" w:color="auto" w:fill="DEEAF6" w:themeFill="accent1" w:themeFillTint="33"/>
          </w:tcPr>
          <w:p w:rsidR="002057E4" w:rsidRPr="004011A7" w:rsidRDefault="002057E4" w:rsidP="00B903CF">
            <w:pPr>
              <w:pStyle w:val="TableParagraph"/>
            </w:pPr>
            <w:r w:rsidRPr="004011A7">
              <w:t>Opioid misuse</w:t>
            </w:r>
          </w:p>
        </w:tc>
        <w:tc>
          <w:tcPr>
            <w:tcW w:w="3150" w:type="dxa"/>
            <w:shd w:val="clear" w:color="auto" w:fill="auto"/>
          </w:tcPr>
          <w:p w:rsidR="002057E4" w:rsidRPr="0060185F" w:rsidRDefault="002057E4" w:rsidP="00B903CF">
            <w:pPr>
              <w:pStyle w:val="TableParagraph"/>
              <w:cnfStyle w:val="000000000000" w:firstRow="0" w:lastRow="0" w:firstColumn="0" w:lastColumn="0" w:oddVBand="0" w:evenVBand="0" w:oddHBand="0" w:evenHBand="0" w:firstRowFirstColumn="0" w:firstRowLastColumn="0" w:lastRowFirstColumn="0" w:lastRowLastColumn="0"/>
            </w:pPr>
            <w:r>
              <w:t>Current Opioid Misuse Measure (COMM)</w:t>
            </w:r>
          </w:p>
        </w:tc>
        <w:tc>
          <w:tcPr>
            <w:tcW w:w="4230" w:type="dxa"/>
            <w:shd w:val="clear" w:color="auto" w:fill="auto"/>
          </w:tcPr>
          <w:p w:rsidR="002057E4" w:rsidRDefault="00696A6B" w:rsidP="00B903CF">
            <w:pPr>
              <w:pStyle w:val="TableParagraph"/>
              <w:cnfStyle w:val="000000000000" w:firstRow="0" w:lastRow="0" w:firstColumn="0" w:lastColumn="0" w:oddVBand="0" w:evenVBand="0" w:oddHBand="0" w:evenHBand="0" w:firstRowFirstColumn="0" w:firstRowLastColumn="0" w:lastRowFirstColumn="0" w:lastRowLastColumn="0"/>
            </w:pPr>
            <w:r>
              <w:t>As indicated as a measure of opioid misuse</w:t>
            </w:r>
          </w:p>
        </w:tc>
      </w:tr>
      <w:tr w:rsidR="00A23714" w:rsidTr="00B9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2057E4" w:rsidP="00B903CF">
            <w:pPr>
              <w:pStyle w:val="TableParagraph"/>
            </w:pPr>
            <w:r w:rsidRPr="004011A7">
              <w:t>PTSD</w:t>
            </w:r>
          </w:p>
        </w:tc>
        <w:tc>
          <w:tcPr>
            <w:tcW w:w="3150" w:type="dxa"/>
            <w:shd w:val="clear" w:color="auto" w:fill="auto"/>
          </w:tcPr>
          <w:p w:rsidR="002057E4" w:rsidRPr="0060185F" w:rsidRDefault="002057E4" w:rsidP="00B903CF">
            <w:pPr>
              <w:pStyle w:val="TableParagraph"/>
              <w:cnfStyle w:val="000000100000" w:firstRow="0" w:lastRow="0" w:firstColumn="0" w:lastColumn="0" w:oddVBand="0" w:evenVBand="0" w:oddHBand="1" w:evenHBand="0" w:firstRowFirstColumn="0" w:firstRowLastColumn="0" w:lastRowFirstColumn="0" w:lastRowLastColumn="0"/>
            </w:pPr>
            <w:r>
              <w:t>Primary Care PTSD Screen (</w:t>
            </w:r>
            <w:r w:rsidRPr="0060185F">
              <w:t>PC-PTSD</w:t>
            </w:r>
            <w:r>
              <w:t>)</w:t>
            </w:r>
          </w:p>
        </w:tc>
        <w:tc>
          <w:tcPr>
            <w:tcW w:w="4230" w:type="dxa"/>
            <w:shd w:val="clear" w:color="auto" w:fill="auto"/>
          </w:tcPr>
          <w:p w:rsidR="002057E4" w:rsidRPr="0060185F" w:rsidRDefault="003F1446" w:rsidP="00B903CF">
            <w:pPr>
              <w:pStyle w:val="TableParagraph"/>
              <w:cnfStyle w:val="000000100000" w:firstRow="0" w:lastRow="0" w:firstColumn="0" w:lastColumn="0" w:oddVBand="0" w:evenVBand="0" w:oddHBand="1" w:evenHBand="0" w:firstRowFirstColumn="0" w:firstRowLastColumn="0" w:lastRowFirstColumn="0" w:lastRowLastColumn="0"/>
            </w:pPr>
            <w:r>
              <w:t>If elevated PHQ or GAD despite active treatment</w:t>
            </w:r>
          </w:p>
        </w:tc>
      </w:tr>
      <w:tr w:rsidR="00A23714" w:rsidTr="00B903CF">
        <w:tc>
          <w:tcPr>
            <w:cnfStyle w:val="001000000000" w:firstRow="0" w:lastRow="0" w:firstColumn="1" w:lastColumn="0" w:oddVBand="0" w:evenVBand="0" w:oddHBand="0" w:evenHBand="0" w:firstRowFirstColumn="0" w:firstRowLastColumn="0" w:lastRowFirstColumn="0" w:lastRowLastColumn="0"/>
            <w:tcW w:w="2605" w:type="dxa"/>
            <w:shd w:val="clear" w:color="auto" w:fill="DEEAF6" w:themeFill="accent1" w:themeFillTint="33"/>
          </w:tcPr>
          <w:p w:rsidR="002057E4" w:rsidRPr="004011A7" w:rsidRDefault="00405876" w:rsidP="00B903CF">
            <w:pPr>
              <w:pStyle w:val="TableParagraph"/>
            </w:pPr>
            <w:r>
              <w:t>Sleep a</w:t>
            </w:r>
            <w:r w:rsidR="002057E4" w:rsidRPr="004011A7">
              <w:t>pnea</w:t>
            </w:r>
          </w:p>
        </w:tc>
        <w:tc>
          <w:tcPr>
            <w:tcW w:w="3150" w:type="dxa"/>
            <w:shd w:val="clear" w:color="auto" w:fill="auto"/>
          </w:tcPr>
          <w:p w:rsidR="002057E4" w:rsidRPr="0060185F" w:rsidRDefault="002057E4" w:rsidP="00B903CF">
            <w:pPr>
              <w:pStyle w:val="TableParagraph"/>
              <w:cnfStyle w:val="000000000000" w:firstRow="0" w:lastRow="0" w:firstColumn="0" w:lastColumn="0" w:oddVBand="0" w:evenVBand="0" w:oddHBand="0" w:evenHBand="0" w:firstRowFirstColumn="0" w:firstRowLastColumn="0" w:lastRowFirstColumn="0" w:lastRowLastColumn="0"/>
            </w:pPr>
            <w:r w:rsidRPr="0060185F">
              <w:t>STOPBang</w:t>
            </w:r>
          </w:p>
        </w:tc>
        <w:tc>
          <w:tcPr>
            <w:tcW w:w="4230" w:type="dxa"/>
            <w:shd w:val="clear" w:color="auto" w:fill="auto"/>
          </w:tcPr>
          <w:p w:rsidR="002057E4" w:rsidRPr="0060185F" w:rsidRDefault="002057E4" w:rsidP="00B903CF">
            <w:pPr>
              <w:pStyle w:val="TableParagraph"/>
              <w:cnfStyle w:val="000000000000" w:firstRow="0" w:lastRow="0" w:firstColumn="0" w:lastColumn="0" w:oddVBand="0" w:evenVBand="0" w:oddHBand="0" w:evenHBand="0" w:firstRowFirstColumn="0" w:firstRowLastColumn="0" w:lastRowFirstColumn="0" w:lastRowLastColumn="0"/>
            </w:pPr>
            <w:r>
              <w:t>When co-occurring risks</w:t>
            </w:r>
            <w:r w:rsidR="00806E06">
              <w:t xml:space="preserve"> (COPD; restrictive lung disease, </w:t>
            </w:r>
            <w:r w:rsidR="00806E06" w:rsidRPr="00806E06">
              <w:t>including</w:t>
            </w:r>
            <w:r w:rsidR="00806E06">
              <w:t xml:space="preserve"> kyphosis or thoracic scoliosis; BMI &gt; 28; snoring</w:t>
            </w:r>
            <w:r w:rsidR="00806E06" w:rsidRPr="00806E06">
              <w:t xml:space="preserve">; </w:t>
            </w:r>
            <w:r w:rsidR="00806E06">
              <w:t>fatigue</w:t>
            </w:r>
            <w:r w:rsidR="00806E06" w:rsidRPr="00806E06">
              <w:t>; witnessed irregular breathing</w:t>
            </w:r>
            <w:r w:rsidR="00806E06">
              <w:t xml:space="preserve">; MED &gt; 50; concurrent use of </w:t>
            </w:r>
            <w:r w:rsidR="00B1398D">
              <w:t>benzodiazepines</w:t>
            </w:r>
            <w:r w:rsidR="00806E06">
              <w:t>)</w:t>
            </w:r>
          </w:p>
        </w:tc>
      </w:tr>
      <w:tr w:rsidR="00A23714" w:rsidTr="00B90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rsidR="002057E4" w:rsidRPr="004011A7" w:rsidRDefault="002057E4" w:rsidP="00B903CF">
            <w:pPr>
              <w:pStyle w:val="TableParagraph"/>
            </w:pPr>
            <w:r w:rsidRPr="004011A7">
              <w:t>Fibromyalgia</w:t>
            </w:r>
          </w:p>
        </w:tc>
        <w:tc>
          <w:tcPr>
            <w:tcW w:w="3150" w:type="dxa"/>
            <w:shd w:val="clear" w:color="auto" w:fill="auto"/>
          </w:tcPr>
          <w:p w:rsidR="002057E4" w:rsidRPr="0060185F" w:rsidRDefault="002057E4" w:rsidP="00B903CF">
            <w:pPr>
              <w:pStyle w:val="TableParagraph"/>
              <w:cnfStyle w:val="000000100000" w:firstRow="0" w:lastRow="0" w:firstColumn="0" w:lastColumn="0" w:oddVBand="0" w:evenVBand="0" w:oddHBand="1" w:evenHBand="0" w:firstRowFirstColumn="0" w:firstRowLastColumn="0" w:lastRowFirstColumn="0" w:lastRowLastColumn="0"/>
            </w:pPr>
            <w:r>
              <w:t>Patient self-report survey for the assessment of fibromyalgia</w:t>
            </w:r>
          </w:p>
        </w:tc>
        <w:tc>
          <w:tcPr>
            <w:tcW w:w="4230" w:type="dxa"/>
            <w:shd w:val="clear" w:color="auto" w:fill="auto"/>
          </w:tcPr>
          <w:p w:rsidR="002057E4" w:rsidRPr="0060185F" w:rsidRDefault="00A23714" w:rsidP="00B903CF">
            <w:pPr>
              <w:pStyle w:val="TableParagraph"/>
              <w:cnfStyle w:val="000000100000" w:firstRow="0" w:lastRow="0" w:firstColumn="0" w:lastColumn="0" w:oddVBand="0" w:evenVBand="0" w:oddHBand="1" w:evenHBand="0" w:firstRowFirstColumn="0" w:firstRowLastColumn="0" w:lastRowFirstColumn="0" w:lastRowLastColumn="0"/>
            </w:pPr>
            <w:r>
              <w:t>As appropriate d</w:t>
            </w:r>
            <w:r w:rsidR="002057E4">
              <w:t>uring diagnosis</w:t>
            </w:r>
          </w:p>
        </w:tc>
      </w:tr>
    </w:tbl>
    <w:p w:rsidR="002057E4" w:rsidRDefault="002057E4" w:rsidP="00C0216F">
      <w:pPr>
        <w:rPr>
          <w:b/>
        </w:rPr>
      </w:pPr>
    </w:p>
    <w:p w:rsidR="00F13A4E" w:rsidRDefault="00F13A4E" w:rsidP="00B903CF">
      <w:pPr>
        <w:pStyle w:val="BodyText"/>
      </w:pPr>
      <w:r>
        <w:t>If there is e</w:t>
      </w:r>
      <w:r w:rsidR="0016059F">
        <w:t>vidence of u</w:t>
      </w:r>
      <w:r w:rsidR="00EB53E4">
        <w:t>se of non-</w:t>
      </w:r>
      <w:r w:rsidR="00425B7E">
        <w:t>p</w:t>
      </w:r>
      <w:r w:rsidR="00EB53E4">
        <w:t xml:space="preserve">rescribed substances that put a patient at risk, e.g., </w:t>
      </w:r>
      <w:r w:rsidR="0016059F">
        <w:t>illicit</w:t>
      </w:r>
      <w:r w:rsidR="00EB53E4">
        <w:t xml:space="preserve"> drugs or controlled substances not approved by the </w:t>
      </w:r>
      <w:proofErr w:type="gramStart"/>
      <w:r w:rsidR="0016059F">
        <w:t>clinician</w:t>
      </w:r>
      <w:r>
        <w:t>:</w:t>
      </w:r>
      <w:proofErr w:type="gramEnd"/>
    </w:p>
    <w:p w:rsidR="00F13A4E" w:rsidRDefault="00F13A4E" w:rsidP="00B903CF">
      <w:pPr>
        <w:pStyle w:val="Bullet"/>
      </w:pPr>
      <w:r>
        <w:t>A</w:t>
      </w:r>
      <w:r w:rsidR="00425B7E">
        <w:t>ssess for substance use disorde</w:t>
      </w:r>
      <w:r w:rsidR="00DD07C3">
        <w:t>r</w:t>
      </w:r>
    </w:p>
    <w:p w:rsidR="00F13A4E" w:rsidRDefault="00F13A4E" w:rsidP="00B903CF">
      <w:pPr>
        <w:pStyle w:val="Bullet"/>
      </w:pPr>
      <w:r>
        <w:t>R</w:t>
      </w:r>
      <w:r w:rsidR="00DD07C3">
        <w:t xml:space="preserve">efer to behavioral health and counseling services </w:t>
      </w:r>
    </w:p>
    <w:p w:rsidR="00C01DB1" w:rsidRDefault="00C01DB1" w:rsidP="00B903CF">
      <w:pPr>
        <w:pStyle w:val="Bullet"/>
      </w:pPr>
      <w:r>
        <w:t>Discontinue c</w:t>
      </w:r>
      <w:r w:rsidRPr="00760456">
        <w:t xml:space="preserve">hronic </w:t>
      </w:r>
      <w:r>
        <w:t>o</w:t>
      </w:r>
      <w:r w:rsidRPr="00760456">
        <w:t xml:space="preserve">pioid therapy by tapering the medication(s) </w:t>
      </w:r>
    </w:p>
    <w:p w:rsidR="00BF3139" w:rsidRPr="00760456" w:rsidRDefault="00BF3139" w:rsidP="00B903CF">
      <w:pPr>
        <w:pStyle w:val="Bullet"/>
      </w:pPr>
      <w:r>
        <w:t>Continue to care for patient’s medical needs other than opioid prescription</w:t>
      </w:r>
    </w:p>
    <w:p w:rsidR="00265800" w:rsidRPr="00760456" w:rsidRDefault="00265800" w:rsidP="00B903CF">
      <w:pPr>
        <w:pStyle w:val="BodyText"/>
      </w:pPr>
      <w:r w:rsidRPr="00760456">
        <w:t xml:space="preserve">If a patient fails to present for a </w:t>
      </w:r>
      <w:r>
        <w:t>urine</w:t>
      </w:r>
      <w:r w:rsidRPr="00760456">
        <w:t xml:space="preserve"> drug screen</w:t>
      </w:r>
      <w:r w:rsidR="00F13A4E">
        <w:t>:</w:t>
      </w:r>
    </w:p>
    <w:p w:rsidR="00265800" w:rsidRPr="00760456" w:rsidRDefault="00265800" w:rsidP="00B903CF">
      <w:pPr>
        <w:pStyle w:val="Bullet"/>
      </w:pPr>
      <w:r w:rsidRPr="00760456">
        <w:t xml:space="preserve">Arrangements may be made for a “second chance” random </w:t>
      </w:r>
      <w:r>
        <w:t xml:space="preserve">urine </w:t>
      </w:r>
      <w:r w:rsidRPr="00760456">
        <w:t>drug screen</w:t>
      </w:r>
    </w:p>
    <w:p w:rsidR="003F1446" w:rsidRDefault="00265800" w:rsidP="00B903CF">
      <w:pPr>
        <w:pStyle w:val="Bullet"/>
      </w:pPr>
      <w:r w:rsidRPr="00760456">
        <w:t xml:space="preserve">If the patient fails to </w:t>
      </w:r>
      <w:r>
        <w:t>show a</w:t>
      </w:r>
      <w:r w:rsidRPr="00760456">
        <w:t xml:space="preserve"> second time, discontinue </w:t>
      </w:r>
      <w:r>
        <w:t>chronic o</w:t>
      </w:r>
      <w:r w:rsidRPr="00760456">
        <w:t xml:space="preserve">pioid therapy by tapering the medication(s) </w:t>
      </w:r>
      <w:r w:rsidR="003F1446">
        <w:t>at a pace appropriate to urgency and risk</w:t>
      </w:r>
    </w:p>
    <w:p w:rsidR="003F1446" w:rsidRPr="00760456" w:rsidRDefault="003F1446" w:rsidP="00B903CF">
      <w:pPr>
        <w:pStyle w:val="Bullet"/>
      </w:pPr>
      <w:r>
        <w:t>Evaluate for, or r</w:t>
      </w:r>
      <w:r w:rsidR="00265800" w:rsidRPr="00760456">
        <w:t xml:space="preserve">efer to </w:t>
      </w:r>
      <w:r>
        <w:t>substance use disorder expert or program.</w:t>
      </w:r>
    </w:p>
    <w:p w:rsidR="00EB53E4" w:rsidRDefault="00EB53E4" w:rsidP="00B903CF">
      <w:pPr>
        <w:pStyle w:val="Bullet"/>
      </w:pPr>
      <w:r>
        <w:t>Evidence of diversion</w:t>
      </w:r>
      <w:r w:rsidR="0016059F">
        <w:t xml:space="preserve"> requires </w:t>
      </w:r>
      <w:r w:rsidR="00C12F26">
        <w:t xml:space="preserve">discontinuing </w:t>
      </w:r>
      <w:r w:rsidR="0016059F">
        <w:t>chronic opioid therapy treatment.</w:t>
      </w:r>
    </w:p>
    <w:p w:rsidR="00B85BC2" w:rsidRDefault="00B85BC2" w:rsidP="00B903CF">
      <w:pPr>
        <w:pStyle w:val="Heading3"/>
      </w:pPr>
      <w:r>
        <w:t>Diagnosis and treatment</w:t>
      </w:r>
    </w:p>
    <w:p w:rsidR="00B85BC2" w:rsidRDefault="00B85BC2" w:rsidP="00B903CF">
      <w:pPr>
        <w:pStyle w:val="Bullet"/>
      </w:pPr>
      <w:r>
        <w:t>At least annually assess the patient to identify the diagnosis for their chronic pain</w:t>
      </w:r>
    </w:p>
    <w:p w:rsidR="00B85BC2" w:rsidRPr="00C92845" w:rsidRDefault="00B85BC2" w:rsidP="00B903CF">
      <w:pPr>
        <w:pStyle w:val="Bullet"/>
      </w:pPr>
      <w:r>
        <w:t xml:space="preserve">At least annually assess potential benefits of </w:t>
      </w:r>
      <w:r w:rsidRPr="00483258">
        <w:t>nonpharmacologic and nonopioid pharm</w:t>
      </w:r>
      <w:r>
        <w:t>acologic therapy</w:t>
      </w:r>
    </w:p>
    <w:p w:rsidR="00B85BC2" w:rsidRDefault="00B85BC2" w:rsidP="00B903CF">
      <w:pPr>
        <w:pStyle w:val="Bullet"/>
      </w:pPr>
      <w:r>
        <w:t xml:space="preserve">Within 1 to 4 weeks of </w:t>
      </w:r>
      <w:r w:rsidRPr="00520B96">
        <w:rPr>
          <w:u w:val="single"/>
        </w:rPr>
        <w:t>increasing dos</w:t>
      </w:r>
      <w:r>
        <w:rPr>
          <w:u w:val="single"/>
        </w:rPr>
        <w:t>age</w:t>
      </w:r>
      <w:r>
        <w:t xml:space="preserve">, evaluate benefits and risks; </w:t>
      </w:r>
      <w:r w:rsidRPr="00261DEE">
        <w:rPr>
          <w:b/>
          <w:i/>
          <w:u w:val="single"/>
        </w:rPr>
        <w:t>only</w:t>
      </w:r>
      <w:r>
        <w:t xml:space="preserve"> continue increased dose</w:t>
      </w:r>
      <w:r w:rsidRPr="00483258">
        <w:t xml:space="preserve"> if there is clinically meaningful improvement in pain and function that outweighs risks to patient safety</w:t>
      </w:r>
    </w:p>
    <w:p w:rsidR="00E94F47" w:rsidRDefault="00C87C64" w:rsidP="00B903CF">
      <w:pPr>
        <w:pStyle w:val="Heading3"/>
      </w:pPr>
      <w:r>
        <w:t>Co-prescribing</w:t>
      </w:r>
    </w:p>
    <w:p w:rsidR="00AF5038" w:rsidRDefault="00E94F47" w:rsidP="00B903CF">
      <w:pPr>
        <w:pStyle w:val="Bullet"/>
      </w:pPr>
      <w:r>
        <w:t>Do</w:t>
      </w:r>
      <w:r w:rsidR="00267E3E" w:rsidRPr="00483258">
        <w:t xml:space="preserve"> </w:t>
      </w:r>
      <w:r w:rsidR="00077EA6">
        <w:t>not</w:t>
      </w:r>
      <w:r w:rsidR="00267E3E" w:rsidRPr="00483258">
        <w:t xml:space="preserve"> prescrib</w:t>
      </w:r>
      <w:r w:rsidR="00077EA6">
        <w:t>e</w:t>
      </w:r>
      <w:r w:rsidR="00267E3E" w:rsidRPr="00483258">
        <w:t xml:space="preserve"> opioid pain medication and benzodiazepines or other sedative concurrently. </w:t>
      </w:r>
    </w:p>
    <w:p w:rsidR="00C12F26" w:rsidRDefault="00C12F26" w:rsidP="00B903CF">
      <w:pPr>
        <w:pStyle w:val="Bullet"/>
      </w:pPr>
      <w:r>
        <w:t>Screen for concurrent use of benzodiazepines or other sedatives at each visit</w:t>
      </w:r>
      <w:r w:rsidR="00646730">
        <w:t>.</w:t>
      </w:r>
    </w:p>
    <w:p w:rsidR="00267E3E" w:rsidRPr="00483258" w:rsidRDefault="00AF5038" w:rsidP="00B903CF">
      <w:pPr>
        <w:pStyle w:val="Bullet"/>
      </w:pPr>
      <w:r>
        <w:rPr>
          <w:rFonts w:ascii="Calibri" w:hAnsi="Calibri"/>
          <w:color w:val="000000"/>
        </w:rPr>
        <w:t xml:space="preserve">Consult with any other prescriber found to have given </w:t>
      </w:r>
      <w:r w:rsidR="00847413" w:rsidRPr="00E94F47">
        <w:rPr>
          <w:rFonts w:ascii="Calibri" w:hAnsi="Calibri"/>
          <w:color w:val="000000"/>
        </w:rPr>
        <w:t>the patient a drug which could interact with opioid analgesics (e.g. benzodiazepines, sedative-hypnotics, anxiolytics, or CNS depressants). If the other practitioner is not available, document attempts to con</w:t>
      </w:r>
      <w:r w:rsidR="00847413" w:rsidRPr="00AF5038">
        <w:rPr>
          <w:rFonts w:ascii="Calibri" w:hAnsi="Calibri"/>
          <w:color w:val="000000"/>
        </w:rPr>
        <w:t>tact the other practitioner in the patient’s healthcare record.</w:t>
      </w:r>
    </w:p>
    <w:p w:rsidR="009132F2" w:rsidRDefault="00AF6DE0" w:rsidP="00B903CF">
      <w:pPr>
        <w:pStyle w:val="Heading3"/>
      </w:pPr>
      <w:r>
        <w:lastRenderedPageBreak/>
        <w:t>High risk patients</w:t>
      </w:r>
    </w:p>
    <w:p w:rsidR="004A01DE" w:rsidRPr="007C7F75" w:rsidRDefault="004A01DE" w:rsidP="00B903CF">
      <w:pPr>
        <w:pStyle w:val="Bullet"/>
        <w:rPr>
          <w:rFonts w:cs="TradeGothic CondEighteen"/>
          <w:color w:val="000000"/>
        </w:rPr>
      </w:pPr>
      <w:r>
        <w:t>Patients on a dose of 90 MED/day or higher must have a pain specialist consultation</w:t>
      </w:r>
    </w:p>
    <w:p w:rsidR="009132F2" w:rsidRDefault="009132F2" w:rsidP="00B903CF">
      <w:pPr>
        <w:pStyle w:val="Bullet"/>
      </w:pPr>
      <w:r>
        <w:t xml:space="preserve">Prescribe Naloxone </w:t>
      </w:r>
      <w:r w:rsidR="00C0216F" w:rsidRPr="00483258">
        <w:t>when factors that increase risk for opioid overdose</w:t>
      </w:r>
      <w:r>
        <w:t xml:space="preserve"> exist</w:t>
      </w:r>
      <w:r w:rsidR="00C0216F" w:rsidRPr="00483258">
        <w:t>, such as</w:t>
      </w:r>
    </w:p>
    <w:p w:rsidR="009132F2" w:rsidRDefault="009132F2" w:rsidP="00B903CF">
      <w:pPr>
        <w:pStyle w:val="Subbullet"/>
      </w:pPr>
      <w:r>
        <w:t>H</w:t>
      </w:r>
      <w:r w:rsidR="00C0216F" w:rsidRPr="00483258">
        <w:t>istory of overdose</w:t>
      </w:r>
    </w:p>
    <w:p w:rsidR="009132F2" w:rsidRDefault="009132F2" w:rsidP="00B903CF">
      <w:pPr>
        <w:pStyle w:val="Subbullet"/>
      </w:pPr>
      <w:r>
        <w:t>H</w:t>
      </w:r>
      <w:r w:rsidR="00C0216F" w:rsidRPr="00483258">
        <w:t>istory of substance use disorder</w:t>
      </w:r>
    </w:p>
    <w:p w:rsidR="009132F2" w:rsidRDefault="009132F2" w:rsidP="00B903CF">
      <w:pPr>
        <w:pStyle w:val="Subbullet"/>
      </w:pPr>
      <w:r>
        <w:t>Sleep apnea proven</w:t>
      </w:r>
    </w:p>
    <w:p w:rsidR="009132F2" w:rsidRDefault="009132F2" w:rsidP="00B903CF">
      <w:pPr>
        <w:pStyle w:val="Subbullet"/>
      </w:pPr>
      <w:r>
        <w:t>H</w:t>
      </w:r>
      <w:r w:rsidR="00C0216F" w:rsidRPr="00483258">
        <w:t xml:space="preserve">igher opioid dosages (≥50 </w:t>
      </w:r>
      <w:r w:rsidR="00C0216F">
        <w:t>MED</w:t>
      </w:r>
      <w:r w:rsidR="00C0216F" w:rsidRPr="00483258">
        <w:t>/day)</w:t>
      </w:r>
    </w:p>
    <w:p w:rsidR="00C0216F" w:rsidRDefault="009132F2" w:rsidP="00B903CF">
      <w:pPr>
        <w:pStyle w:val="Subbullet"/>
      </w:pPr>
      <w:r>
        <w:t>C</w:t>
      </w:r>
      <w:r w:rsidR="00C0216F" w:rsidRPr="00483258">
        <w:t>oncurrent benzodiazepine use</w:t>
      </w:r>
    </w:p>
    <w:p w:rsidR="00646730" w:rsidRPr="00646730" w:rsidRDefault="00646730" w:rsidP="00B903CF">
      <w:pPr>
        <w:pStyle w:val="Bullet"/>
      </w:pPr>
      <w:r w:rsidRPr="00646730">
        <w:t>Arrange evidence-based treatment (usually medication-assisted treatment with buprenorphine or methadone in combination with behavioral therapies) for patients with opioid use disorder.</w:t>
      </w:r>
    </w:p>
    <w:p w:rsidR="00B85BC2" w:rsidRPr="00F9503B" w:rsidRDefault="00B85BC2" w:rsidP="00B903CF">
      <w:pPr>
        <w:pStyle w:val="Heading3"/>
      </w:pPr>
      <w:r w:rsidRPr="00900717">
        <w:t xml:space="preserve">Refills </w:t>
      </w:r>
    </w:p>
    <w:p w:rsidR="00B85BC2" w:rsidRDefault="00B85BC2" w:rsidP="00B903CF">
      <w:pPr>
        <w:pStyle w:val="Bullet"/>
      </w:pPr>
      <w:r>
        <w:t>Write opioid prescriptions for a maximum of 28 days so patients do not run out of medications on the weekend</w:t>
      </w:r>
    </w:p>
    <w:p w:rsidR="00B85BC2" w:rsidRPr="00401870" w:rsidRDefault="00B85BC2" w:rsidP="00B903CF">
      <w:pPr>
        <w:pStyle w:val="Bullet"/>
        <w:rPr>
          <w:rFonts w:cs="TradeGothic CondEighteen"/>
          <w:color w:val="000000"/>
        </w:rPr>
      </w:pPr>
      <w:r>
        <w:t xml:space="preserve">Do not provide an opioid refill until the patient has an up-to-date Opioid Patient Agreement, urine drug test, and state prescription monitoring program check </w:t>
      </w:r>
      <w:r w:rsidRPr="00356A3F">
        <w:t>to determine whether the patient is receiving opioid dosages or dangerous combinations that put him or her at high risk for overdose</w:t>
      </w:r>
    </w:p>
    <w:p w:rsidR="00B85BC2" w:rsidRDefault="00B85BC2" w:rsidP="00B903CF">
      <w:pPr>
        <w:pStyle w:val="Bullet"/>
      </w:pPr>
      <w:r>
        <w:t>Patients should receive prescription refills from only one clinician (or their designee if not available)</w:t>
      </w:r>
    </w:p>
    <w:p w:rsidR="00B85BC2" w:rsidRDefault="00B85BC2" w:rsidP="00B903CF">
      <w:pPr>
        <w:pStyle w:val="Bullet"/>
      </w:pPr>
      <w:r>
        <w:t>Prescriptions should be refilled at only one pharmacy</w:t>
      </w:r>
    </w:p>
    <w:p w:rsidR="00B85BC2" w:rsidRDefault="00B85BC2" w:rsidP="00B903CF">
      <w:pPr>
        <w:pStyle w:val="Bullet"/>
      </w:pPr>
      <w:r>
        <w:t xml:space="preserve">Include indications for medication use on the prescription </w:t>
      </w:r>
    </w:p>
    <w:p w:rsidR="00B85BC2" w:rsidRDefault="00B85BC2" w:rsidP="00B903CF">
      <w:pPr>
        <w:pStyle w:val="Bullet"/>
      </w:pPr>
      <w:r>
        <w:t>Require photo identification of the person picking up a prescription in the clinic</w:t>
      </w:r>
    </w:p>
    <w:p w:rsidR="00B85BC2" w:rsidRDefault="00B85BC2" w:rsidP="00B903CF">
      <w:pPr>
        <w:pStyle w:val="Bullet"/>
      </w:pPr>
      <w:r>
        <w:t>Only give refills during business hours on Tuesdays, Wednesdays, and Thursdays</w:t>
      </w:r>
    </w:p>
    <w:p w:rsidR="00B85BC2" w:rsidRDefault="00B85BC2" w:rsidP="00B903CF">
      <w:pPr>
        <w:pStyle w:val="Bullet"/>
      </w:pPr>
      <w:r>
        <w:t>Require 3 business days’ notice</w:t>
      </w:r>
    </w:p>
    <w:p w:rsidR="00B85BC2" w:rsidRPr="00261DEE" w:rsidRDefault="00B85BC2" w:rsidP="00B903CF">
      <w:pPr>
        <w:pStyle w:val="Bullet"/>
        <w:rPr>
          <w:rFonts w:cs="TradeGothic CondEighteen"/>
          <w:color w:val="000000"/>
        </w:rPr>
      </w:pPr>
      <w:r>
        <w:t>Do not r</w:t>
      </w:r>
      <w:r w:rsidRPr="00346593">
        <w:t>efill</w:t>
      </w:r>
      <w:r>
        <w:t xml:space="preserve"> opioids </w:t>
      </w:r>
      <w:r w:rsidRPr="00346593">
        <w:t>for lost, stolen, spilled, etc. medications</w:t>
      </w:r>
      <w:r>
        <w:t xml:space="preserve"> unless in </w:t>
      </w:r>
      <w:r w:rsidRPr="00346593">
        <w:t>extraordinary circumstances (e.g., fire, natural disaster, etc.)</w:t>
      </w:r>
    </w:p>
    <w:p w:rsidR="00B85BC2" w:rsidRPr="00664C06" w:rsidRDefault="00B85BC2" w:rsidP="00B903CF">
      <w:pPr>
        <w:pStyle w:val="Bullet"/>
        <w:rPr>
          <w:rFonts w:cs="TradeGothic CondEighteen"/>
          <w:color w:val="000000"/>
        </w:rPr>
      </w:pPr>
      <w:r>
        <w:t xml:space="preserve">Do not refill opioids if patient has previously overdosed on medications  </w:t>
      </w:r>
    </w:p>
    <w:p w:rsidR="00B85BC2" w:rsidRDefault="00B85BC2" w:rsidP="00B903CF">
      <w:pPr>
        <w:pStyle w:val="Bullet"/>
      </w:pPr>
      <w:r>
        <w:t>Do not refill opioids if patient is arrested or incarcerated related to legal or illegal drugs</w:t>
      </w:r>
    </w:p>
    <w:p w:rsidR="005E126F" w:rsidRPr="005E126F" w:rsidRDefault="005E126F" w:rsidP="00B903CF">
      <w:pPr>
        <w:pStyle w:val="Heading2"/>
      </w:pPr>
      <w:r w:rsidRPr="005E126F">
        <w:t>Discontinuation o</w:t>
      </w:r>
      <w:r>
        <w:t>f opioids</w:t>
      </w:r>
    </w:p>
    <w:p w:rsidR="005E126F" w:rsidRDefault="005E126F" w:rsidP="00B903CF">
      <w:pPr>
        <w:pStyle w:val="BodyText"/>
      </w:pPr>
      <w:r>
        <w:t>Patients who meet any of the below criteria may have their medications discontinued at the discretion of the clinician. Discontinuation of opioids should be performed through a reasonable tapering program.</w:t>
      </w:r>
    </w:p>
    <w:p w:rsidR="005E126F" w:rsidRDefault="005E126F" w:rsidP="00B903CF">
      <w:pPr>
        <w:pStyle w:val="Bullet"/>
      </w:pPr>
      <w:r>
        <w:t>Failure to follow the signed Opioid Patient Agreement</w:t>
      </w:r>
    </w:p>
    <w:p w:rsidR="005E126F" w:rsidRDefault="005E126F" w:rsidP="00B903CF">
      <w:pPr>
        <w:pStyle w:val="Bullet"/>
      </w:pPr>
      <w:r>
        <w:t>Missed appointments at the minimal scheduled interval or regularly scheduled appointments</w:t>
      </w:r>
    </w:p>
    <w:p w:rsidR="005E126F" w:rsidRDefault="005E126F" w:rsidP="00B903CF">
      <w:pPr>
        <w:pStyle w:val="Bullet"/>
      </w:pPr>
      <w:r>
        <w:t>Failure to comply with urine drug testing as requested</w:t>
      </w:r>
    </w:p>
    <w:p w:rsidR="005E126F" w:rsidRDefault="005E126F" w:rsidP="00B903CF">
      <w:pPr>
        <w:pStyle w:val="Bullet"/>
      </w:pPr>
      <w:r>
        <w:t>Failure to comply with medical evaluation of pain complaint, such as refusal of diagnostic tests (e.g., radiology tests, stress test) or referrals (e.g., neurology, physical or occupational therapy, pain specialist, behavioral health or psychiatry)</w:t>
      </w:r>
    </w:p>
    <w:p w:rsidR="005E126F" w:rsidRDefault="005E126F" w:rsidP="00B903CF">
      <w:pPr>
        <w:pStyle w:val="Bullet"/>
      </w:pPr>
      <w:r>
        <w:t>Failure to report treatment with controlled substances by other clinicians</w:t>
      </w:r>
    </w:p>
    <w:p w:rsidR="005E126F" w:rsidRDefault="005E126F" w:rsidP="00B903CF">
      <w:pPr>
        <w:pStyle w:val="Bullet"/>
      </w:pPr>
      <w:r>
        <w:t>Urine drug testing results not consistent with clinician’s prescription plan</w:t>
      </w:r>
    </w:p>
    <w:p w:rsidR="005E126F" w:rsidRPr="00900717" w:rsidRDefault="005E126F" w:rsidP="00B903CF">
      <w:pPr>
        <w:pStyle w:val="Bullet"/>
      </w:pPr>
      <w:r w:rsidRPr="00900717">
        <w:t>Prescriptions that patient reports taking daily are not detected on urine drug test</w:t>
      </w:r>
    </w:p>
    <w:p w:rsidR="005E126F" w:rsidRPr="00900717" w:rsidRDefault="005E126F" w:rsidP="00B903CF">
      <w:pPr>
        <w:pStyle w:val="Bullet"/>
      </w:pPr>
      <w:r w:rsidRPr="00900717">
        <w:t>Patient tests positive for illicit substances</w:t>
      </w:r>
    </w:p>
    <w:p w:rsidR="005E126F" w:rsidRDefault="005E126F" w:rsidP="00B903CF">
      <w:pPr>
        <w:pStyle w:val="Bullet"/>
      </w:pPr>
      <w:r>
        <w:t>Patient is abusive with language, aggressive, or intimidating to staff. This behavior may result in termination of both opioids and professional attendance</w:t>
      </w:r>
    </w:p>
    <w:p w:rsidR="00483304" w:rsidRDefault="00483304" w:rsidP="00B903CF">
      <w:pPr>
        <w:pStyle w:val="BodyText"/>
      </w:pPr>
      <w:r w:rsidRPr="00760456">
        <w:t xml:space="preserve">If the </w:t>
      </w:r>
      <w:r>
        <w:t>clinician</w:t>
      </w:r>
      <w:r w:rsidRPr="00760456">
        <w:t xml:space="preserve"> chooses to discontinue the medication, the </w:t>
      </w:r>
      <w:r>
        <w:t>clinician</w:t>
      </w:r>
      <w:r w:rsidRPr="00760456">
        <w:t xml:space="preserve"> will taper the medication to avoid withdrawal symptoms, </w:t>
      </w:r>
      <w:r>
        <w:t>as</w:t>
      </w:r>
      <w:r w:rsidRPr="00760456">
        <w:t xml:space="preserve"> medically indicated.</w:t>
      </w:r>
      <w:r w:rsidR="00F9503B">
        <w:t xml:space="preserve"> Tapering may unmask underlying Opioid Use Disorder and these patients should be offered Medication Assisted Therapy.</w:t>
      </w:r>
    </w:p>
    <w:p w:rsidR="005E126F" w:rsidRDefault="005E126F" w:rsidP="00B903CF">
      <w:pPr>
        <w:pStyle w:val="BodyText"/>
      </w:pPr>
      <w:r>
        <w:lastRenderedPageBreak/>
        <w:t xml:space="preserve">If </w:t>
      </w:r>
      <w:r w:rsidR="009C4E50">
        <w:t xml:space="preserve">opioids are </w:t>
      </w:r>
      <w:r>
        <w:t xml:space="preserve">terminated, a letter of medication termination, including potential treatment options, is </w:t>
      </w:r>
      <w:proofErr w:type="gramStart"/>
      <w:r>
        <w:t>sent</w:t>
      </w:r>
      <w:proofErr w:type="gramEnd"/>
      <w:r>
        <w:t xml:space="preserve"> to the patient and a copy placed in the medical record. In cases of serious violation of the treatment agreement, or the violation of the law, the prescribing clinician may want to terminate care for the patient at the </w:t>
      </w:r>
      <w:r w:rsidRPr="006247CB">
        <w:rPr>
          <w:u w:val="single"/>
        </w:rPr>
        <w:t>organization</w:t>
      </w:r>
      <w:r w:rsidRPr="00760456">
        <w:t xml:space="preserve">. Such a decision must be reviewed and finalized by the Medical Director. </w:t>
      </w:r>
    </w:p>
    <w:p w:rsidR="00261DEE" w:rsidRDefault="00B903CF" w:rsidP="00B903CF">
      <w:pPr>
        <w:pStyle w:val="BodyText"/>
      </w:pPr>
      <w:r>
        <w:t xml:space="preserve">An </w:t>
      </w:r>
      <w:r w:rsidR="00261DEE">
        <w:t xml:space="preserve">MED calculator can be found </w:t>
      </w:r>
      <w:hyperlink r:id="rId7" w:history="1">
        <w:r w:rsidR="00261DEE" w:rsidRPr="004B540A">
          <w:rPr>
            <w:rStyle w:val="Hyperlink"/>
          </w:rPr>
          <w:t>here</w:t>
        </w:r>
      </w:hyperlink>
      <w:r w:rsidR="00261DEE">
        <w:t>.</w:t>
      </w:r>
    </w:p>
    <w:p w:rsidR="00261DEE" w:rsidRDefault="00261DEE" w:rsidP="00C0216F"/>
    <w:sectPr w:rsidR="00261DEE" w:rsidSect="002658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FF8" w:rsidRDefault="00F63FF8" w:rsidP="008C73A4">
      <w:pPr>
        <w:spacing w:after="0" w:line="240" w:lineRule="auto"/>
      </w:pPr>
      <w:r>
        <w:separator/>
      </w:r>
    </w:p>
  </w:endnote>
  <w:endnote w:type="continuationSeparator" w:id="0">
    <w:p w:rsidR="00F63FF8" w:rsidRDefault="00F63FF8" w:rsidP="008C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Headings CS)">
    <w:altName w:val="Times New Roman"/>
    <w:charset w:val="00"/>
    <w:family w:val="roman"/>
    <w:pitch w:val="variable"/>
    <w:sig w:usb0="E0002AFF" w:usb1="C0007841" w:usb2="00000009" w:usb3="00000000" w:csb0="000001FF" w:csb1="00000000"/>
  </w:font>
  <w:font w:name="HYPost-Light">
    <w:altName w:val="Batang"/>
    <w:charset w:val="81"/>
    <w:family w:val="roman"/>
    <w:pitch w:val="default"/>
    <w:sig w:usb0="E0002AFF" w:usb1="C0007843" w:usb2="00000009" w:usb3="00000000" w:csb0="000001F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Times New Roman (Body CS)">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5982"/>
      <w:docPartObj>
        <w:docPartGallery w:val="Page Numbers (Bottom of Page)"/>
        <w:docPartUnique/>
      </w:docPartObj>
    </w:sdtPr>
    <w:sdtEndPr>
      <w:rPr>
        <w:noProof/>
      </w:rPr>
    </w:sdtEndPr>
    <w:sdtContent>
      <w:p w:rsidR="003250A0" w:rsidRDefault="003250A0" w:rsidP="003250A0">
        <w:pPr>
          <w:pStyle w:val="Footer"/>
          <w:pBdr>
            <w:top w:val="dotted" w:sz="12" w:space="1" w:color="BFBFBF" w:themeColor="text1" w:themeTint="40"/>
          </w:pBdr>
          <w:ind w:left="1440"/>
          <w:jc w:val="right"/>
          <w:rPr>
            <w:rFonts w:cs="Times New Roman (Body CS)"/>
            <w:color w:val="000000" w:themeColor="text1"/>
            <w:sz w:val="16"/>
            <w:szCs w:val="16"/>
            <w14:numForm w14:val="lining"/>
          </w:rPr>
        </w:pPr>
        <w:r w:rsidRPr="0045554A">
          <w:rPr>
            <w:noProof/>
          </w:rPr>
          <w:drawing>
            <wp:anchor distT="0" distB="0" distL="114300" distR="114300" simplePos="0" relativeHeight="251660288" behindDoc="0" locked="0" layoutInCell="1" allowOverlap="1" wp14:anchorId="44061B3B" wp14:editId="394F7B8E">
              <wp:simplePos x="0" y="0"/>
              <wp:positionH relativeFrom="margin">
                <wp:posOffset>5233035</wp:posOffset>
              </wp:positionH>
              <wp:positionV relativeFrom="page">
                <wp:posOffset>9176385</wp:posOffset>
              </wp:positionV>
              <wp:extent cx="710565" cy="250190"/>
              <wp:effectExtent l="0" t="0" r="0" b="0"/>
              <wp:wrapThrough wrapText="bothSides">
                <wp:wrapPolygon edited="0">
                  <wp:start x="0" y="0"/>
                  <wp:lineTo x="0" y="19736"/>
                  <wp:lineTo x="20847" y="19736"/>
                  <wp:lineTo x="20847" y="0"/>
                  <wp:lineTo x="0" y="0"/>
                </wp:wrapPolygon>
              </wp:wrapThrough>
              <wp:docPr id="12" name="Picture 12"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56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0" allowOverlap="1" wp14:anchorId="3943B740" wp14:editId="75D9E2B8">
              <wp:simplePos x="0" y="0"/>
              <wp:positionH relativeFrom="margin">
                <wp:posOffset>-460292</wp:posOffset>
              </wp:positionH>
              <wp:positionV relativeFrom="bottomMargin">
                <wp:posOffset>31032</wp:posOffset>
              </wp:positionV>
              <wp:extent cx="1300870" cy="799106"/>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png"/>
                      <pic:cNvPicPr/>
                    </pic:nvPicPr>
                    <pic:blipFill rotWithShape="1">
                      <a:blip r:embed="rId3" cstate="print">
                        <a:extLst>
                          <a:ext uri="{28A0092B-C50C-407E-A947-70E740481C1C}">
                            <a14:useLocalDpi xmlns:a14="http://schemas.microsoft.com/office/drawing/2010/main" val="0"/>
                          </a:ext>
                        </a:extLst>
                      </a:blip>
                      <a:srcRect l="8230" t="58682" r="9411" b="2222"/>
                      <a:stretch/>
                    </pic:blipFill>
                    <pic:spPr bwMode="auto">
                      <a:xfrm>
                        <a:off x="0" y="0"/>
                        <a:ext cx="1300870" cy="7991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250A0" w:rsidRPr="007E5239" w:rsidRDefault="003250A0" w:rsidP="003250A0">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SIX BUILDING BLOCKS</w:t>
        </w:r>
        <w:r>
          <w:rPr>
            <w:rFonts w:cs="Times New Roman (Body CS)"/>
            <w:color w:val="000000" w:themeColor="text1"/>
            <w:sz w:val="16"/>
            <w:szCs w:val="16"/>
            <w14:numForm w14:val="lining"/>
          </w:rPr>
          <w:t xml:space="preserve">: MODEL OPIOID </w:t>
        </w:r>
        <w:proofErr w:type="gramStart"/>
        <w:r>
          <w:rPr>
            <w:rFonts w:cs="Times New Roman (Body CS)"/>
            <w:color w:val="000000" w:themeColor="text1"/>
            <w:sz w:val="16"/>
            <w:szCs w:val="16"/>
            <w14:numForm w14:val="lining"/>
          </w:rPr>
          <w:t>POLICY  |</w:t>
        </w:r>
        <w:proofErr w:type="gramEnd"/>
        <w:r>
          <w:rPr>
            <w:rFonts w:cs="Times New Roman (Body CS)"/>
            <w:color w:val="000000" w:themeColor="text1"/>
            <w:sz w:val="16"/>
            <w:szCs w:val="16"/>
            <w14:numForm w14:val="lining"/>
          </w:rPr>
          <w:t xml:space="preserve">  VERSION  2018.10.02</w:t>
        </w:r>
      </w:p>
      <w:p w:rsidR="003250A0" w:rsidRDefault="003250A0" w:rsidP="003250A0">
        <w:pPr>
          <w:spacing w:after="0" w:line="240" w:lineRule="auto"/>
          <w:ind w:firstLine="907"/>
          <w:jc w:val="right"/>
          <w:rPr>
            <w:rFonts w:cs="Times New Roman (Body CS)"/>
            <w:color w:val="000000" w:themeColor="text1"/>
            <w:sz w:val="16"/>
            <w:szCs w:val="16"/>
            <w14:numForm w14:val="lining"/>
          </w:rPr>
        </w:pPr>
        <w:r>
          <w:rPr>
            <w:rFonts w:cs="Times New Roman (Body CS)"/>
            <w:color w:val="000000" w:themeColor="text1"/>
            <w:sz w:val="16"/>
            <w:szCs w:val="16"/>
            <w14:numForm w14:val="lining"/>
          </w:rPr>
          <w:t xml:space="preserve">LICENSED UNDER A </w:t>
        </w:r>
        <w:hyperlink r:id="rId4" w:history="1">
          <w:r w:rsidRPr="001F38F7">
            <w:rPr>
              <w:rStyle w:val="Hyperlink"/>
              <w:rFonts w:cs="Times New Roman (Body CS)"/>
              <w:sz w:val="16"/>
              <w:szCs w:val="16"/>
              <w14:numForm w14:val="lining"/>
            </w:rPr>
            <w:t>CREATIVE COMMONS BY-NC-ND 4.0 INTERNATIONAL LICENSE</w:t>
          </w:r>
        </w:hyperlink>
      </w:p>
      <w:p w:rsidR="008C73A4" w:rsidRPr="003250A0" w:rsidRDefault="003250A0" w:rsidP="003250A0">
        <w:pPr>
          <w:pStyle w:val="Footer"/>
          <w:jc w:val="right"/>
        </w:pPr>
        <w:r>
          <w:fldChar w:fldCharType="begin"/>
        </w:r>
        <w:r>
          <w:instrText xml:space="preserve"> PAGE   \* MERGEFORMAT </w:instrText>
        </w:r>
        <w:r>
          <w:fldChar w:fldCharType="separate"/>
        </w:r>
        <w:r w:rsidR="00FF701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FF8" w:rsidRDefault="00F63FF8" w:rsidP="008C73A4">
      <w:pPr>
        <w:spacing w:after="0" w:line="240" w:lineRule="auto"/>
      </w:pPr>
      <w:r>
        <w:separator/>
      </w:r>
    </w:p>
  </w:footnote>
  <w:footnote w:type="continuationSeparator" w:id="0">
    <w:p w:rsidR="00F63FF8" w:rsidRDefault="00F63FF8" w:rsidP="008C73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A7" w:rsidRPr="00745C72" w:rsidRDefault="004011A7" w:rsidP="004011A7">
    <w:pPr>
      <w:pStyle w:val="Header"/>
      <w:jc w:val="center"/>
      <w:rPr>
        <w:i/>
      </w:rPr>
    </w:pPr>
    <w:r>
      <w:t>[</w:t>
    </w:r>
    <w:r>
      <w:rPr>
        <w:i/>
      </w:rPr>
      <w:t>Put your organization’s letterhead here]</w:t>
    </w:r>
  </w:p>
  <w:p w:rsidR="004011A7" w:rsidRDefault="00401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ABF"/>
    <w:multiLevelType w:val="hybridMultilevel"/>
    <w:tmpl w:val="8034E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790D5A"/>
    <w:multiLevelType w:val="hybridMultilevel"/>
    <w:tmpl w:val="DD7EEBE6"/>
    <w:lvl w:ilvl="0" w:tplc="2CBC88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3D85"/>
    <w:multiLevelType w:val="hybridMultilevel"/>
    <w:tmpl w:val="A65CB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311A5"/>
    <w:multiLevelType w:val="hybridMultilevel"/>
    <w:tmpl w:val="353A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E5306"/>
    <w:multiLevelType w:val="hybridMultilevel"/>
    <w:tmpl w:val="ABB26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E2225"/>
    <w:multiLevelType w:val="hybridMultilevel"/>
    <w:tmpl w:val="4C943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0E12AF"/>
    <w:multiLevelType w:val="hybridMultilevel"/>
    <w:tmpl w:val="C10A1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7459F2"/>
    <w:multiLevelType w:val="hybridMultilevel"/>
    <w:tmpl w:val="27680644"/>
    <w:lvl w:ilvl="0" w:tplc="2CBC88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046D59"/>
    <w:multiLevelType w:val="hybridMultilevel"/>
    <w:tmpl w:val="7188D26C"/>
    <w:lvl w:ilvl="0" w:tplc="349A4FD6">
      <w:start w:val="1"/>
      <w:numFmt w:val="bullet"/>
      <w:lvlText w:val="•"/>
      <w:lvlJc w:val="left"/>
      <w:pPr>
        <w:tabs>
          <w:tab w:val="num" w:pos="720"/>
        </w:tabs>
        <w:ind w:left="720" w:hanging="360"/>
      </w:pPr>
      <w:rPr>
        <w:rFonts w:ascii="Arial" w:hAnsi="Arial" w:hint="default"/>
      </w:rPr>
    </w:lvl>
    <w:lvl w:ilvl="1" w:tplc="43B25056" w:tentative="1">
      <w:start w:val="1"/>
      <w:numFmt w:val="bullet"/>
      <w:lvlText w:val="•"/>
      <w:lvlJc w:val="left"/>
      <w:pPr>
        <w:tabs>
          <w:tab w:val="num" w:pos="1440"/>
        </w:tabs>
        <w:ind w:left="1440" w:hanging="360"/>
      </w:pPr>
      <w:rPr>
        <w:rFonts w:ascii="Arial" w:hAnsi="Arial" w:hint="default"/>
      </w:rPr>
    </w:lvl>
    <w:lvl w:ilvl="2" w:tplc="7BB69382" w:tentative="1">
      <w:start w:val="1"/>
      <w:numFmt w:val="bullet"/>
      <w:lvlText w:val="•"/>
      <w:lvlJc w:val="left"/>
      <w:pPr>
        <w:tabs>
          <w:tab w:val="num" w:pos="2160"/>
        </w:tabs>
        <w:ind w:left="2160" w:hanging="360"/>
      </w:pPr>
      <w:rPr>
        <w:rFonts w:ascii="Arial" w:hAnsi="Arial" w:hint="default"/>
      </w:rPr>
    </w:lvl>
    <w:lvl w:ilvl="3" w:tplc="4FCE0592" w:tentative="1">
      <w:start w:val="1"/>
      <w:numFmt w:val="bullet"/>
      <w:lvlText w:val="•"/>
      <w:lvlJc w:val="left"/>
      <w:pPr>
        <w:tabs>
          <w:tab w:val="num" w:pos="2880"/>
        </w:tabs>
        <w:ind w:left="2880" w:hanging="360"/>
      </w:pPr>
      <w:rPr>
        <w:rFonts w:ascii="Arial" w:hAnsi="Arial" w:hint="default"/>
      </w:rPr>
    </w:lvl>
    <w:lvl w:ilvl="4" w:tplc="FFD060F8" w:tentative="1">
      <w:start w:val="1"/>
      <w:numFmt w:val="bullet"/>
      <w:lvlText w:val="•"/>
      <w:lvlJc w:val="left"/>
      <w:pPr>
        <w:tabs>
          <w:tab w:val="num" w:pos="3600"/>
        </w:tabs>
        <w:ind w:left="3600" w:hanging="360"/>
      </w:pPr>
      <w:rPr>
        <w:rFonts w:ascii="Arial" w:hAnsi="Arial" w:hint="default"/>
      </w:rPr>
    </w:lvl>
    <w:lvl w:ilvl="5" w:tplc="84E6DCEA" w:tentative="1">
      <w:start w:val="1"/>
      <w:numFmt w:val="bullet"/>
      <w:lvlText w:val="•"/>
      <w:lvlJc w:val="left"/>
      <w:pPr>
        <w:tabs>
          <w:tab w:val="num" w:pos="4320"/>
        </w:tabs>
        <w:ind w:left="4320" w:hanging="360"/>
      </w:pPr>
      <w:rPr>
        <w:rFonts w:ascii="Arial" w:hAnsi="Arial" w:hint="default"/>
      </w:rPr>
    </w:lvl>
    <w:lvl w:ilvl="6" w:tplc="9CBE8FD4" w:tentative="1">
      <w:start w:val="1"/>
      <w:numFmt w:val="bullet"/>
      <w:lvlText w:val="•"/>
      <w:lvlJc w:val="left"/>
      <w:pPr>
        <w:tabs>
          <w:tab w:val="num" w:pos="5040"/>
        </w:tabs>
        <w:ind w:left="5040" w:hanging="360"/>
      </w:pPr>
      <w:rPr>
        <w:rFonts w:ascii="Arial" w:hAnsi="Arial" w:hint="default"/>
      </w:rPr>
    </w:lvl>
    <w:lvl w:ilvl="7" w:tplc="60CAB8FC" w:tentative="1">
      <w:start w:val="1"/>
      <w:numFmt w:val="bullet"/>
      <w:lvlText w:val="•"/>
      <w:lvlJc w:val="left"/>
      <w:pPr>
        <w:tabs>
          <w:tab w:val="num" w:pos="5760"/>
        </w:tabs>
        <w:ind w:left="5760" w:hanging="360"/>
      </w:pPr>
      <w:rPr>
        <w:rFonts w:ascii="Arial" w:hAnsi="Arial" w:hint="default"/>
      </w:rPr>
    </w:lvl>
    <w:lvl w:ilvl="8" w:tplc="094A9D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AD116A"/>
    <w:multiLevelType w:val="hybridMultilevel"/>
    <w:tmpl w:val="7ABE2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75CF4"/>
    <w:multiLevelType w:val="hybridMultilevel"/>
    <w:tmpl w:val="AB6A9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943AD"/>
    <w:multiLevelType w:val="hybridMultilevel"/>
    <w:tmpl w:val="D43A708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5220C"/>
    <w:multiLevelType w:val="hybridMultilevel"/>
    <w:tmpl w:val="C9C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17988"/>
    <w:multiLevelType w:val="hybridMultilevel"/>
    <w:tmpl w:val="5816D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732E71"/>
    <w:multiLevelType w:val="hybridMultilevel"/>
    <w:tmpl w:val="AB207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D71DE2"/>
    <w:multiLevelType w:val="hybridMultilevel"/>
    <w:tmpl w:val="1AF6A078"/>
    <w:lvl w:ilvl="0" w:tplc="65C22D84">
      <w:start w:val="1"/>
      <w:numFmt w:val="bullet"/>
      <w:pStyle w:val="Sub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0289A"/>
    <w:multiLevelType w:val="hybridMultilevel"/>
    <w:tmpl w:val="B4989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673A66"/>
    <w:multiLevelType w:val="hybridMultilevel"/>
    <w:tmpl w:val="84009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4B7C52"/>
    <w:multiLevelType w:val="hybridMultilevel"/>
    <w:tmpl w:val="338E2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135033"/>
    <w:multiLevelType w:val="hybridMultilevel"/>
    <w:tmpl w:val="DB9A5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2004D3"/>
    <w:multiLevelType w:val="multilevel"/>
    <w:tmpl w:val="7BDE54E4"/>
    <w:lvl w:ilvl="0">
      <w:start w:val="1"/>
      <w:numFmt w:val="decimal"/>
      <w:pStyle w:val="Table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D633C4"/>
    <w:multiLevelType w:val="hybridMultilevel"/>
    <w:tmpl w:val="8444A0A8"/>
    <w:lvl w:ilvl="0" w:tplc="BDEA532C">
      <w:start w:val="1"/>
      <w:numFmt w:val="bullet"/>
      <w:pStyle w:val="Checklis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D607A"/>
    <w:multiLevelType w:val="hybridMultilevel"/>
    <w:tmpl w:val="012C4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0A185C"/>
    <w:multiLevelType w:val="hybridMultilevel"/>
    <w:tmpl w:val="627A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3A2215"/>
    <w:multiLevelType w:val="hybridMultilevel"/>
    <w:tmpl w:val="649897B6"/>
    <w:lvl w:ilvl="0" w:tplc="773CBBD2">
      <w:start w:val="1"/>
      <w:numFmt w:val="decimal"/>
      <w:pStyle w:val="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5F0BF0"/>
    <w:multiLevelType w:val="hybridMultilevel"/>
    <w:tmpl w:val="A6EACB4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475C33"/>
    <w:multiLevelType w:val="hybridMultilevel"/>
    <w:tmpl w:val="9BE8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3012C"/>
    <w:multiLevelType w:val="hybridMultilevel"/>
    <w:tmpl w:val="436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21E23"/>
    <w:multiLevelType w:val="hybridMultilevel"/>
    <w:tmpl w:val="FCFACC8E"/>
    <w:lvl w:ilvl="0" w:tplc="EF30C51A">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D3EFA"/>
    <w:multiLevelType w:val="hybridMultilevel"/>
    <w:tmpl w:val="4FF4C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63DA6"/>
    <w:multiLevelType w:val="singleLevel"/>
    <w:tmpl w:val="628CF49E"/>
    <w:lvl w:ilvl="0">
      <w:start w:val="1"/>
      <w:numFmt w:val="bullet"/>
      <w:pStyle w:val="Bullets"/>
      <w:lvlText w:val=""/>
      <w:lvlJc w:val="left"/>
      <w:pPr>
        <w:ind w:left="360" w:hanging="360"/>
      </w:pPr>
      <w:rPr>
        <w:rFonts w:ascii="Symbol" w:hAnsi="Symbol" w:hint="default"/>
        <w:color w:val="003E6C"/>
        <w:sz w:val="22"/>
      </w:rPr>
    </w:lvl>
  </w:abstractNum>
  <w:abstractNum w:abstractNumId="31" w15:restartNumberingAfterBreak="0">
    <w:nsid w:val="7F511961"/>
    <w:multiLevelType w:val="hybridMultilevel"/>
    <w:tmpl w:val="E5A8E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AB24BB"/>
    <w:multiLevelType w:val="hybridMultilevel"/>
    <w:tmpl w:val="B5749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21"/>
  </w:num>
  <w:num w:numId="4">
    <w:abstractNumId w:val="30"/>
  </w:num>
  <w:num w:numId="5">
    <w:abstractNumId w:val="26"/>
  </w:num>
  <w:num w:numId="6">
    <w:abstractNumId w:val="27"/>
  </w:num>
  <w:num w:numId="7">
    <w:abstractNumId w:val="23"/>
  </w:num>
  <w:num w:numId="8">
    <w:abstractNumId w:val="4"/>
  </w:num>
  <w:num w:numId="9">
    <w:abstractNumId w:val="6"/>
  </w:num>
  <w:num w:numId="10">
    <w:abstractNumId w:val="17"/>
  </w:num>
  <w:num w:numId="11">
    <w:abstractNumId w:val="9"/>
  </w:num>
  <w:num w:numId="12">
    <w:abstractNumId w:val="3"/>
  </w:num>
  <w:num w:numId="13">
    <w:abstractNumId w:val="12"/>
  </w:num>
  <w:num w:numId="14">
    <w:abstractNumId w:val="2"/>
  </w:num>
  <w:num w:numId="15">
    <w:abstractNumId w:val="0"/>
  </w:num>
  <w:num w:numId="16">
    <w:abstractNumId w:val="25"/>
  </w:num>
  <w:num w:numId="17">
    <w:abstractNumId w:val="13"/>
  </w:num>
  <w:num w:numId="18">
    <w:abstractNumId w:val="29"/>
  </w:num>
  <w:num w:numId="19">
    <w:abstractNumId w:val="16"/>
  </w:num>
  <w:num w:numId="20">
    <w:abstractNumId w:val="10"/>
  </w:num>
  <w:num w:numId="21">
    <w:abstractNumId w:val="18"/>
  </w:num>
  <w:num w:numId="22">
    <w:abstractNumId w:val="8"/>
  </w:num>
  <w:num w:numId="23">
    <w:abstractNumId w:val="11"/>
  </w:num>
  <w:num w:numId="24">
    <w:abstractNumId w:val="31"/>
  </w:num>
  <w:num w:numId="25">
    <w:abstractNumId w:val="5"/>
  </w:num>
  <w:num w:numId="26">
    <w:abstractNumId w:val="22"/>
  </w:num>
  <w:num w:numId="27">
    <w:abstractNumId w:val="19"/>
  </w:num>
  <w:num w:numId="28">
    <w:abstractNumId w:val="32"/>
  </w:num>
  <w:num w:numId="29">
    <w:abstractNumId w:val="14"/>
  </w:num>
  <w:num w:numId="30">
    <w:abstractNumId w:val="28"/>
  </w:num>
  <w:num w:numId="31">
    <w:abstractNumId w:val="24"/>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CA"/>
    <w:rsid w:val="00077EA6"/>
    <w:rsid w:val="000A6BCE"/>
    <w:rsid w:val="000C18A2"/>
    <w:rsid w:val="00122E2B"/>
    <w:rsid w:val="0012798D"/>
    <w:rsid w:val="00140421"/>
    <w:rsid w:val="00150491"/>
    <w:rsid w:val="0016059F"/>
    <w:rsid w:val="00175C18"/>
    <w:rsid w:val="002057E4"/>
    <w:rsid w:val="00215F41"/>
    <w:rsid w:val="00234485"/>
    <w:rsid w:val="00261DEE"/>
    <w:rsid w:val="00265800"/>
    <w:rsid w:val="00267E3E"/>
    <w:rsid w:val="002A4C6D"/>
    <w:rsid w:val="002B2F79"/>
    <w:rsid w:val="002C5949"/>
    <w:rsid w:val="002E259A"/>
    <w:rsid w:val="003250A0"/>
    <w:rsid w:val="003355DE"/>
    <w:rsid w:val="00356A3F"/>
    <w:rsid w:val="00382B3A"/>
    <w:rsid w:val="003858B5"/>
    <w:rsid w:val="003C5CA2"/>
    <w:rsid w:val="003F1446"/>
    <w:rsid w:val="003F2B80"/>
    <w:rsid w:val="003F53AC"/>
    <w:rsid w:val="004011A7"/>
    <w:rsid w:val="00401870"/>
    <w:rsid w:val="004019DD"/>
    <w:rsid w:val="00405876"/>
    <w:rsid w:val="00415188"/>
    <w:rsid w:val="00425B7E"/>
    <w:rsid w:val="00431CB1"/>
    <w:rsid w:val="00437EB8"/>
    <w:rsid w:val="00444712"/>
    <w:rsid w:val="00481318"/>
    <w:rsid w:val="00483304"/>
    <w:rsid w:val="004A01DE"/>
    <w:rsid w:val="004D69BC"/>
    <w:rsid w:val="004F6B58"/>
    <w:rsid w:val="005078CB"/>
    <w:rsid w:val="005168F4"/>
    <w:rsid w:val="00556E82"/>
    <w:rsid w:val="00561588"/>
    <w:rsid w:val="00565CA5"/>
    <w:rsid w:val="005D7BDA"/>
    <w:rsid w:val="005E126F"/>
    <w:rsid w:val="005E4BFC"/>
    <w:rsid w:val="005E706C"/>
    <w:rsid w:val="005F4249"/>
    <w:rsid w:val="005F5362"/>
    <w:rsid w:val="006060B6"/>
    <w:rsid w:val="006061D7"/>
    <w:rsid w:val="006247CB"/>
    <w:rsid w:val="00646730"/>
    <w:rsid w:val="006509FC"/>
    <w:rsid w:val="00664C06"/>
    <w:rsid w:val="006661B8"/>
    <w:rsid w:val="00674559"/>
    <w:rsid w:val="00684466"/>
    <w:rsid w:val="00696A6B"/>
    <w:rsid w:val="006B23C0"/>
    <w:rsid w:val="006B3EB9"/>
    <w:rsid w:val="007001A9"/>
    <w:rsid w:val="007053E3"/>
    <w:rsid w:val="00746A23"/>
    <w:rsid w:val="00757102"/>
    <w:rsid w:val="00781C9D"/>
    <w:rsid w:val="00786665"/>
    <w:rsid w:val="007D0C7F"/>
    <w:rsid w:val="007E180C"/>
    <w:rsid w:val="00806E06"/>
    <w:rsid w:val="00810E90"/>
    <w:rsid w:val="00817143"/>
    <w:rsid w:val="00833C63"/>
    <w:rsid w:val="008424BD"/>
    <w:rsid w:val="00847226"/>
    <w:rsid w:val="00847413"/>
    <w:rsid w:val="008531E8"/>
    <w:rsid w:val="00854AAC"/>
    <w:rsid w:val="00863736"/>
    <w:rsid w:val="008A1676"/>
    <w:rsid w:val="008B286E"/>
    <w:rsid w:val="008B7C28"/>
    <w:rsid w:val="008C73A4"/>
    <w:rsid w:val="008C7E0D"/>
    <w:rsid w:val="008D63D1"/>
    <w:rsid w:val="008F15EA"/>
    <w:rsid w:val="00900717"/>
    <w:rsid w:val="009132F2"/>
    <w:rsid w:val="00931D56"/>
    <w:rsid w:val="00960775"/>
    <w:rsid w:val="009951B7"/>
    <w:rsid w:val="009C4E50"/>
    <w:rsid w:val="009E0475"/>
    <w:rsid w:val="009E24E7"/>
    <w:rsid w:val="009E55E2"/>
    <w:rsid w:val="00A23714"/>
    <w:rsid w:val="00A36481"/>
    <w:rsid w:val="00A56603"/>
    <w:rsid w:val="00A6166A"/>
    <w:rsid w:val="00A61B90"/>
    <w:rsid w:val="00A8777F"/>
    <w:rsid w:val="00A94C41"/>
    <w:rsid w:val="00AC6D30"/>
    <w:rsid w:val="00AE0DA1"/>
    <w:rsid w:val="00AF5038"/>
    <w:rsid w:val="00AF6DE0"/>
    <w:rsid w:val="00AF7891"/>
    <w:rsid w:val="00B006E9"/>
    <w:rsid w:val="00B103A9"/>
    <w:rsid w:val="00B1398D"/>
    <w:rsid w:val="00B14B27"/>
    <w:rsid w:val="00B17012"/>
    <w:rsid w:val="00B315A2"/>
    <w:rsid w:val="00B337FB"/>
    <w:rsid w:val="00B4227A"/>
    <w:rsid w:val="00B7145E"/>
    <w:rsid w:val="00B74F6B"/>
    <w:rsid w:val="00B85BC2"/>
    <w:rsid w:val="00B90338"/>
    <w:rsid w:val="00B903CF"/>
    <w:rsid w:val="00BA2ABA"/>
    <w:rsid w:val="00BB36E3"/>
    <w:rsid w:val="00BD25A9"/>
    <w:rsid w:val="00BE002A"/>
    <w:rsid w:val="00BF3139"/>
    <w:rsid w:val="00BF56F9"/>
    <w:rsid w:val="00C01DB1"/>
    <w:rsid w:val="00C0216F"/>
    <w:rsid w:val="00C031FF"/>
    <w:rsid w:val="00C057CA"/>
    <w:rsid w:val="00C12F26"/>
    <w:rsid w:val="00C37A19"/>
    <w:rsid w:val="00C41D74"/>
    <w:rsid w:val="00C65D6C"/>
    <w:rsid w:val="00C87C64"/>
    <w:rsid w:val="00C92845"/>
    <w:rsid w:val="00CE4E70"/>
    <w:rsid w:val="00D07D63"/>
    <w:rsid w:val="00D12D56"/>
    <w:rsid w:val="00D4694F"/>
    <w:rsid w:val="00D53E76"/>
    <w:rsid w:val="00DA572B"/>
    <w:rsid w:val="00DB3C2D"/>
    <w:rsid w:val="00DD07C3"/>
    <w:rsid w:val="00DE078F"/>
    <w:rsid w:val="00DF3CD4"/>
    <w:rsid w:val="00E50614"/>
    <w:rsid w:val="00E80DD3"/>
    <w:rsid w:val="00E94F47"/>
    <w:rsid w:val="00E94F94"/>
    <w:rsid w:val="00EB53E4"/>
    <w:rsid w:val="00EC688F"/>
    <w:rsid w:val="00ED1930"/>
    <w:rsid w:val="00EF2E2B"/>
    <w:rsid w:val="00F07591"/>
    <w:rsid w:val="00F13A4E"/>
    <w:rsid w:val="00F3006D"/>
    <w:rsid w:val="00F52514"/>
    <w:rsid w:val="00F63FF8"/>
    <w:rsid w:val="00F87B46"/>
    <w:rsid w:val="00F9503B"/>
    <w:rsid w:val="00FA1939"/>
    <w:rsid w:val="00FA4B7C"/>
    <w:rsid w:val="00FC6458"/>
    <w:rsid w:val="00FD3D95"/>
    <w:rsid w:val="00FE48DA"/>
    <w:rsid w:val="00FF1236"/>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BB12"/>
  <w15:docId w15:val="{44857482-0C9F-4786-A1AE-B6E73CF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3CF"/>
  </w:style>
  <w:style w:type="paragraph" w:styleId="Heading1">
    <w:name w:val="heading 1"/>
    <w:next w:val="BodyText"/>
    <w:link w:val="Heading1Char"/>
    <w:uiPriority w:val="9"/>
    <w:qFormat/>
    <w:rsid w:val="00B903CF"/>
    <w:pPr>
      <w:keepNext/>
      <w:keepLines/>
      <w:pBdr>
        <w:top w:val="thinThickSmallGap" w:sz="24" w:space="1" w:color="FFC000" w:themeColor="accent4"/>
      </w:pBdr>
      <w:spacing w:before="120" w:after="120" w:line="240" w:lineRule="auto"/>
      <w:outlineLvl w:val="0"/>
    </w:pPr>
    <w:rPr>
      <w:rFonts w:ascii="Corbel" w:eastAsiaTheme="majorEastAsia" w:hAnsi="Corbel" w:cstheme="majorBidi"/>
      <w:sz w:val="52"/>
      <w:szCs w:val="32"/>
    </w:rPr>
  </w:style>
  <w:style w:type="paragraph" w:styleId="Heading2">
    <w:name w:val="heading 2"/>
    <w:next w:val="BodyText"/>
    <w:link w:val="Heading2Char"/>
    <w:uiPriority w:val="9"/>
    <w:unhideWhenUsed/>
    <w:qFormat/>
    <w:rsid w:val="00B903CF"/>
    <w:pPr>
      <w:keepNext/>
      <w:keepLines/>
      <w:spacing w:before="360" w:after="120" w:line="240" w:lineRule="auto"/>
      <w:outlineLvl w:val="1"/>
    </w:pPr>
    <w:rPr>
      <w:rFonts w:ascii="Corbel" w:eastAsiaTheme="majorEastAsia" w:hAnsi="Corbel" w:cstheme="majorBidi"/>
      <w:bCs/>
      <w:color w:val="000000" w:themeColor="text1"/>
      <w:sz w:val="32"/>
      <w:szCs w:val="52"/>
    </w:rPr>
  </w:style>
  <w:style w:type="paragraph" w:styleId="Heading3">
    <w:name w:val="heading 3"/>
    <w:next w:val="BodyText"/>
    <w:link w:val="Heading3Char"/>
    <w:uiPriority w:val="9"/>
    <w:unhideWhenUsed/>
    <w:qFormat/>
    <w:rsid w:val="00B903CF"/>
    <w:pPr>
      <w:keepNext/>
      <w:keepLines/>
      <w:spacing w:after="60"/>
      <w:outlineLvl w:val="2"/>
    </w:pPr>
    <w:rPr>
      <w:rFonts w:ascii="Corbel" w:eastAsiaTheme="majorEastAsia" w:hAnsi="Corbel" w:cstheme="majorBidi"/>
      <w:color w:val="2F5496" w:themeColor="accent5" w:themeShade="BF"/>
      <w:sz w:val="28"/>
      <w:szCs w:val="24"/>
    </w:rPr>
  </w:style>
  <w:style w:type="paragraph" w:styleId="Heading4">
    <w:name w:val="heading 4"/>
    <w:next w:val="Normal"/>
    <w:link w:val="Heading4Char"/>
    <w:uiPriority w:val="9"/>
    <w:unhideWhenUsed/>
    <w:rsid w:val="00B903CF"/>
    <w:pPr>
      <w:keepNext/>
      <w:keepLines/>
      <w:spacing w:before="40" w:after="0"/>
      <w:outlineLvl w:val="3"/>
    </w:pPr>
    <w:rPr>
      <w:rFonts w:ascii="Corbel" w:eastAsiaTheme="majorEastAsia" w:hAnsi="Corbel" w:cstheme="majorBidi"/>
      <w:b/>
      <w:iCs/>
      <w:color w:val="323E4F" w:themeColor="text2" w:themeShade="BF"/>
      <w:sz w:val="21"/>
    </w:rPr>
  </w:style>
  <w:style w:type="paragraph" w:styleId="Heading6">
    <w:name w:val="heading 6"/>
    <w:basedOn w:val="Normal"/>
    <w:next w:val="Normal"/>
    <w:link w:val="Heading6Char"/>
    <w:uiPriority w:val="9"/>
    <w:semiHidden/>
    <w:unhideWhenUsed/>
    <w:qFormat/>
    <w:rsid w:val="00B903C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B903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03CF"/>
  </w:style>
  <w:style w:type="paragraph" w:styleId="Title">
    <w:name w:val="Title"/>
    <w:basedOn w:val="Normal"/>
    <w:next w:val="Normal"/>
    <w:link w:val="TitleChar"/>
    <w:uiPriority w:val="10"/>
    <w:qFormat/>
    <w:rsid w:val="00C057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7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903CF"/>
    <w:rPr>
      <w:rFonts w:ascii="Corbel" w:eastAsiaTheme="majorEastAsia" w:hAnsi="Corbel" w:cstheme="majorBidi"/>
      <w:sz w:val="52"/>
      <w:szCs w:val="32"/>
    </w:rPr>
  </w:style>
  <w:style w:type="character" w:customStyle="1" w:styleId="Heading2Char">
    <w:name w:val="Heading 2 Char"/>
    <w:basedOn w:val="DefaultParagraphFont"/>
    <w:link w:val="Heading2"/>
    <w:uiPriority w:val="9"/>
    <w:rsid w:val="00B903CF"/>
    <w:rPr>
      <w:rFonts w:ascii="Corbel" w:eastAsiaTheme="majorEastAsia" w:hAnsi="Corbel" w:cstheme="majorBidi"/>
      <w:bCs/>
      <w:color w:val="000000" w:themeColor="text1"/>
      <w:sz w:val="32"/>
      <w:szCs w:val="52"/>
    </w:rPr>
  </w:style>
  <w:style w:type="paragraph" w:styleId="ListParagraph">
    <w:name w:val="List Paragraph"/>
    <w:basedOn w:val="Normal"/>
    <w:uiPriority w:val="34"/>
    <w:qFormat/>
    <w:rsid w:val="00C057CA"/>
    <w:pPr>
      <w:ind w:left="720"/>
      <w:contextualSpacing/>
    </w:pPr>
  </w:style>
  <w:style w:type="character" w:customStyle="1" w:styleId="Heading3Char">
    <w:name w:val="Heading 3 Char"/>
    <w:basedOn w:val="DefaultParagraphFont"/>
    <w:link w:val="Heading3"/>
    <w:uiPriority w:val="9"/>
    <w:rsid w:val="00B903CF"/>
    <w:rPr>
      <w:rFonts w:ascii="Corbel" w:eastAsiaTheme="majorEastAsia" w:hAnsi="Corbel" w:cstheme="majorBidi"/>
      <w:color w:val="2F5496" w:themeColor="accent5" w:themeShade="BF"/>
      <w:sz w:val="28"/>
      <w:szCs w:val="24"/>
    </w:rPr>
  </w:style>
  <w:style w:type="paragraph" w:customStyle="1" w:styleId="Description">
    <w:name w:val="Description"/>
    <w:basedOn w:val="ListParagraph"/>
    <w:qFormat/>
    <w:rsid w:val="008B286E"/>
    <w:pPr>
      <w:ind w:left="360"/>
    </w:pPr>
    <w:rPr>
      <w:i/>
    </w:rPr>
  </w:style>
  <w:style w:type="paragraph" w:customStyle="1" w:styleId="Checklist">
    <w:name w:val="Checklist"/>
    <w:basedOn w:val="ListParagraph"/>
    <w:qFormat/>
    <w:rsid w:val="008B286E"/>
    <w:pPr>
      <w:numPr>
        <w:numId w:val="3"/>
      </w:numPr>
    </w:pPr>
  </w:style>
  <w:style w:type="character" w:customStyle="1" w:styleId="apple-converted-space">
    <w:name w:val="apple-converted-space"/>
    <w:basedOn w:val="DefaultParagraphFont"/>
    <w:rsid w:val="00DA572B"/>
  </w:style>
  <w:style w:type="paragraph" w:styleId="BalloonText">
    <w:name w:val="Balloon Text"/>
    <w:basedOn w:val="Normal"/>
    <w:link w:val="BalloonTextChar"/>
    <w:uiPriority w:val="99"/>
    <w:semiHidden/>
    <w:unhideWhenUsed/>
    <w:rsid w:val="00B17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012"/>
    <w:rPr>
      <w:rFonts w:ascii="Segoe UI" w:hAnsi="Segoe UI" w:cs="Segoe UI"/>
      <w:sz w:val="18"/>
      <w:szCs w:val="18"/>
    </w:rPr>
  </w:style>
  <w:style w:type="paragraph" w:styleId="Header">
    <w:name w:val="header"/>
    <w:basedOn w:val="Normal"/>
    <w:link w:val="HeaderChar"/>
    <w:uiPriority w:val="99"/>
    <w:unhideWhenUsed/>
    <w:rsid w:val="00B90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CF"/>
  </w:style>
  <w:style w:type="paragraph" w:styleId="Footer">
    <w:name w:val="footer"/>
    <w:basedOn w:val="Normal"/>
    <w:link w:val="FooterChar"/>
    <w:uiPriority w:val="99"/>
    <w:unhideWhenUsed/>
    <w:rsid w:val="00B90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CF"/>
  </w:style>
  <w:style w:type="paragraph" w:customStyle="1" w:styleId="Bullets">
    <w:name w:val="Bullets"/>
    <w:basedOn w:val="BodyText"/>
    <w:rsid w:val="008D63D1"/>
    <w:pPr>
      <w:numPr>
        <w:numId w:val="4"/>
      </w:numPr>
      <w:tabs>
        <w:tab w:val="num" w:pos="360"/>
      </w:tabs>
      <w:spacing w:line="264" w:lineRule="auto"/>
      <w:ind w:left="0" w:firstLine="0"/>
    </w:pPr>
    <w:rPr>
      <w:rFonts w:ascii="Times New Roman" w:eastAsia="Times New Roman" w:hAnsi="Times New Roman" w:cs="Times New Roman"/>
    </w:rPr>
  </w:style>
  <w:style w:type="paragraph" w:styleId="BodyText">
    <w:name w:val="Body Text"/>
    <w:link w:val="BodyTextChar"/>
    <w:uiPriority w:val="1"/>
    <w:qFormat/>
    <w:rsid w:val="00B903CF"/>
    <w:pPr>
      <w:spacing w:after="240" w:line="260" w:lineRule="atLeast"/>
    </w:pPr>
    <w:rPr>
      <w:rFonts w:ascii="Corbel" w:eastAsia="Calibri" w:hAnsi="Corbel" w:cs="Calibri"/>
      <w:sz w:val="20"/>
      <w:szCs w:val="20"/>
      <w14:numForm w14:val="lining"/>
    </w:rPr>
  </w:style>
  <w:style w:type="character" w:customStyle="1" w:styleId="BodyTextChar">
    <w:name w:val="Body Text Char"/>
    <w:basedOn w:val="DefaultParagraphFont"/>
    <w:link w:val="BodyText"/>
    <w:uiPriority w:val="1"/>
    <w:rsid w:val="00B903CF"/>
    <w:rPr>
      <w:rFonts w:ascii="Corbel" w:eastAsia="Calibri" w:hAnsi="Corbel" w:cs="Calibri"/>
      <w:sz w:val="20"/>
      <w:szCs w:val="20"/>
      <w14:numForm w14:val="lining"/>
    </w:rPr>
  </w:style>
  <w:style w:type="character" w:styleId="Emphasis">
    <w:name w:val="Emphasis"/>
    <w:basedOn w:val="DefaultParagraphFont"/>
    <w:uiPriority w:val="20"/>
    <w:qFormat/>
    <w:rsid w:val="00B903CF"/>
    <w:rPr>
      <w:i/>
      <w:iCs/>
    </w:rPr>
  </w:style>
  <w:style w:type="character" w:styleId="Strong">
    <w:name w:val="Strong"/>
    <w:basedOn w:val="DefaultParagraphFont"/>
    <w:uiPriority w:val="22"/>
    <w:qFormat/>
    <w:rsid w:val="005E706C"/>
    <w:rPr>
      <w:b/>
      <w:bCs/>
    </w:rPr>
  </w:style>
  <w:style w:type="character" w:styleId="CommentReference">
    <w:name w:val="annotation reference"/>
    <w:basedOn w:val="DefaultParagraphFont"/>
    <w:uiPriority w:val="99"/>
    <w:semiHidden/>
    <w:unhideWhenUsed/>
    <w:rsid w:val="00F87B46"/>
    <w:rPr>
      <w:sz w:val="16"/>
      <w:szCs w:val="16"/>
    </w:rPr>
  </w:style>
  <w:style w:type="paragraph" w:styleId="CommentText">
    <w:name w:val="annotation text"/>
    <w:basedOn w:val="Normal"/>
    <w:link w:val="CommentTextChar"/>
    <w:uiPriority w:val="99"/>
    <w:semiHidden/>
    <w:unhideWhenUsed/>
    <w:rsid w:val="00F87B46"/>
    <w:pPr>
      <w:spacing w:line="240" w:lineRule="auto"/>
    </w:pPr>
    <w:rPr>
      <w:sz w:val="20"/>
      <w:szCs w:val="20"/>
    </w:rPr>
  </w:style>
  <w:style w:type="character" w:customStyle="1" w:styleId="CommentTextChar">
    <w:name w:val="Comment Text Char"/>
    <w:basedOn w:val="DefaultParagraphFont"/>
    <w:link w:val="CommentText"/>
    <w:uiPriority w:val="99"/>
    <w:semiHidden/>
    <w:rsid w:val="00F87B46"/>
    <w:rPr>
      <w:sz w:val="20"/>
      <w:szCs w:val="20"/>
    </w:rPr>
  </w:style>
  <w:style w:type="paragraph" w:styleId="CommentSubject">
    <w:name w:val="annotation subject"/>
    <w:basedOn w:val="CommentText"/>
    <w:next w:val="CommentText"/>
    <w:link w:val="CommentSubjectChar"/>
    <w:uiPriority w:val="99"/>
    <w:semiHidden/>
    <w:unhideWhenUsed/>
    <w:rsid w:val="00F87B46"/>
    <w:rPr>
      <w:b/>
      <w:bCs/>
    </w:rPr>
  </w:style>
  <w:style w:type="character" w:customStyle="1" w:styleId="CommentSubjectChar">
    <w:name w:val="Comment Subject Char"/>
    <w:basedOn w:val="CommentTextChar"/>
    <w:link w:val="CommentSubject"/>
    <w:uiPriority w:val="99"/>
    <w:semiHidden/>
    <w:rsid w:val="00F87B46"/>
    <w:rPr>
      <w:b/>
      <w:bCs/>
      <w:sz w:val="20"/>
      <w:szCs w:val="20"/>
    </w:rPr>
  </w:style>
  <w:style w:type="character" w:styleId="Hyperlink">
    <w:name w:val="Hyperlink"/>
    <w:basedOn w:val="DefaultParagraphFont"/>
    <w:uiPriority w:val="99"/>
    <w:unhideWhenUsed/>
    <w:qFormat/>
    <w:rsid w:val="00B903CF"/>
    <w:rPr>
      <w:color w:val="404040" w:themeColor="text1" w:themeTint="BF"/>
      <w:u w:val="dotted"/>
    </w:rPr>
  </w:style>
  <w:style w:type="character" w:customStyle="1" w:styleId="Heading4Char">
    <w:name w:val="Heading 4 Char"/>
    <w:basedOn w:val="DefaultParagraphFont"/>
    <w:link w:val="Heading4"/>
    <w:uiPriority w:val="9"/>
    <w:rsid w:val="00B903CF"/>
    <w:rPr>
      <w:rFonts w:ascii="Corbel" w:eastAsiaTheme="majorEastAsia" w:hAnsi="Corbel" w:cstheme="majorBidi"/>
      <w:b/>
      <w:iCs/>
      <w:color w:val="323E4F" w:themeColor="text2" w:themeShade="BF"/>
      <w:sz w:val="21"/>
    </w:rPr>
  </w:style>
  <w:style w:type="table" w:styleId="TableGrid">
    <w:name w:val="Table Grid"/>
    <w:basedOn w:val="TableNormal"/>
    <w:uiPriority w:val="39"/>
    <w:rsid w:val="00B90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C031F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646730"/>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B903CF"/>
    <w:rPr>
      <w:rFonts w:asciiTheme="majorHAnsi" w:eastAsiaTheme="majorEastAsia" w:hAnsiTheme="majorHAnsi" w:cstheme="majorBidi"/>
      <w:color w:val="1F4D78" w:themeColor="accent1" w:themeShade="7F"/>
    </w:rPr>
  </w:style>
  <w:style w:type="paragraph" w:customStyle="1" w:styleId="Heading3withcheckbox">
    <w:name w:val="Heading 3 with checkbox"/>
    <w:basedOn w:val="Heading3"/>
    <w:rsid w:val="00B903CF"/>
    <w:pPr>
      <w:spacing w:before="360" w:after="120" w:line="240" w:lineRule="auto"/>
      <w:ind w:left="446" w:hanging="446"/>
    </w:pPr>
    <w:rPr>
      <w:rFonts w:cs="Times New Roman (Headings CS)"/>
      <w:bCs/>
      <w:color w:val="000000" w:themeColor="text1"/>
      <w:sz w:val="32"/>
      <w:szCs w:val="28"/>
      <w14:numForm w14:val="lining"/>
    </w:rPr>
  </w:style>
  <w:style w:type="paragraph" w:customStyle="1" w:styleId="Bullet">
    <w:name w:val="Bullet"/>
    <w:basedOn w:val="BodyText"/>
    <w:qFormat/>
    <w:rsid w:val="00B903CF"/>
    <w:pPr>
      <w:numPr>
        <w:numId w:val="30"/>
      </w:numPr>
      <w:spacing w:after="120"/>
      <w:ind w:left="245" w:hanging="245"/>
      <w:contextualSpacing/>
    </w:pPr>
    <w:rPr>
      <w:color w:val="000000" w:themeColor="text1"/>
    </w:rPr>
  </w:style>
  <w:style w:type="paragraph" w:customStyle="1" w:styleId="Number">
    <w:name w:val="Number"/>
    <w:basedOn w:val="BodyText"/>
    <w:qFormat/>
    <w:rsid w:val="00B903CF"/>
    <w:pPr>
      <w:spacing w:after="60"/>
      <w:ind w:left="288" w:hanging="288"/>
    </w:pPr>
  </w:style>
  <w:style w:type="paragraph" w:customStyle="1" w:styleId="Checkablebox">
    <w:name w:val="Checkable box"/>
    <w:basedOn w:val="BodyText"/>
    <w:qFormat/>
    <w:rsid w:val="00B903CF"/>
    <w:pPr>
      <w:contextualSpacing/>
    </w:pPr>
    <w:rPr>
      <w:color w:val="000000" w:themeColor="text1"/>
    </w:rPr>
  </w:style>
  <w:style w:type="paragraph" w:customStyle="1" w:styleId="Note">
    <w:name w:val="Note"/>
    <w:basedOn w:val="Normal"/>
    <w:qFormat/>
    <w:rsid w:val="00B903CF"/>
    <w:pPr>
      <w:pBdr>
        <w:top w:val="single" w:sz="8" w:space="1" w:color="FFC000" w:themeColor="accent4"/>
        <w:bottom w:val="single" w:sz="8" w:space="1" w:color="FFC000" w:themeColor="accent4"/>
      </w:pBdr>
      <w:spacing w:before="240" w:after="240" w:line="240" w:lineRule="auto"/>
      <w:ind w:right="540"/>
    </w:pPr>
    <w:rPr>
      <w:rFonts w:eastAsiaTheme="minorEastAsia"/>
      <w:i/>
      <w:iCs/>
      <w:color w:val="323E4F" w:themeColor="text2" w:themeShade="BF"/>
      <w:sz w:val="20"/>
      <w:szCs w:val="18"/>
    </w:rPr>
  </w:style>
  <w:style w:type="paragraph" w:customStyle="1" w:styleId="Subbullet">
    <w:name w:val="Subbullet"/>
    <w:basedOn w:val="Bullet"/>
    <w:qFormat/>
    <w:rsid w:val="00B903CF"/>
    <w:pPr>
      <w:numPr>
        <w:numId w:val="32"/>
      </w:numPr>
      <w:spacing w:line="240" w:lineRule="atLeast"/>
      <w:ind w:left="576" w:hanging="288"/>
    </w:pPr>
  </w:style>
  <w:style w:type="table" w:styleId="PlainTable1">
    <w:name w:val="Plain Table 1"/>
    <w:basedOn w:val="TableNormal"/>
    <w:uiPriority w:val="41"/>
    <w:rsid w:val="00B903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uiPriority w:val="99"/>
    <w:qFormat/>
    <w:rsid w:val="00B903CF"/>
    <w:pPr>
      <w:spacing w:before="60" w:after="120" w:line="240" w:lineRule="auto"/>
    </w:pPr>
    <w:rPr>
      <w:rFonts w:ascii="Corbel" w:eastAsia="Calibri" w:hAnsi="Corbel" w:cs="Calibri"/>
      <w:color w:val="000000" w:themeColor="text1"/>
      <w:sz w:val="18"/>
    </w:rPr>
  </w:style>
  <w:style w:type="paragraph" w:customStyle="1" w:styleId="Tableheader">
    <w:name w:val="Table header"/>
    <w:basedOn w:val="Normal"/>
    <w:uiPriority w:val="99"/>
    <w:rsid w:val="00B903CF"/>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Endofdocument">
    <w:name w:val="End of document"/>
    <w:basedOn w:val="Normal"/>
    <w:qFormat/>
    <w:rsid w:val="00B903CF"/>
    <w:pPr>
      <w:spacing w:before="120" w:after="120" w:line="240" w:lineRule="auto"/>
      <w:outlineLvl w:val="5"/>
    </w:pPr>
    <w:rPr>
      <w:rFonts w:ascii="Corbel" w:eastAsia="Corbel" w:hAnsi="Corbel" w:cs="Times New Roman"/>
      <w:i/>
      <w:color w:val="FFFFFF"/>
      <w:shd w:val="clear" w:color="auto" w:fill="588ED2"/>
    </w:rPr>
  </w:style>
  <w:style w:type="paragraph" w:customStyle="1" w:styleId="HyperlinkStyle">
    <w:name w:val="Hyperlink Style"/>
    <w:basedOn w:val="BodyText"/>
    <w:qFormat/>
    <w:rsid w:val="00B903CF"/>
    <w:pPr>
      <w:spacing w:after="0" w:line="240" w:lineRule="auto"/>
    </w:pPr>
    <w:rPr>
      <w:i/>
      <w:color w:val="323E4F" w:themeColor="text2" w:themeShade="BF"/>
    </w:rPr>
  </w:style>
  <w:style w:type="paragraph" w:customStyle="1" w:styleId="Quote">
    <w:name w:val="&quot;Quote&quot;"/>
    <w:qFormat/>
    <w:rsid w:val="00B903CF"/>
    <w:pPr>
      <w:pBdr>
        <w:left w:val="single" w:sz="48" w:space="13" w:color="F2BC41"/>
      </w:pBdr>
      <w:spacing w:before="240" w:after="240" w:line="240" w:lineRule="atLeast"/>
      <w:ind w:right="547" w:hanging="86"/>
    </w:pPr>
    <w:rPr>
      <w:rFonts w:ascii="Corbel" w:eastAsia="HYPost-Light" w:hAnsi="Corbel" w:cs="Times New Roman"/>
      <w:i/>
      <w:iCs/>
      <w:color w:val="5D8A93"/>
      <w:sz w:val="24"/>
    </w:rPr>
  </w:style>
  <w:style w:type="paragraph" w:customStyle="1" w:styleId="tablehead">
    <w:name w:val="table head"/>
    <w:basedOn w:val="Normal"/>
    <w:uiPriority w:val="99"/>
    <w:rsid w:val="00B903CF"/>
    <w:pPr>
      <w:suppressAutoHyphens/>
      <w:autoSpaceDE w:val="0"/>
      <w:autoSpaceDN w:val="0"/>
      <w:adjustRightInd w:val="0"/>
      <w:spacing w:after="0" w:line="240" w:lineRule="atLeast"/>
      <w:textAlignment w:val="center"/>
    </w:pPr>
    <w:rPr>
      <w:rFonts w:ascii="Corbel" w:hAnsi="Corbel" w:cs="Corbel"/>
      <w:b/>
      <w:bCs/>
      <w:color w:val="FFFFFF"/>
      <w:sz w:val="20"/>
      <w:szCs w:val="20"/>
      <w14:numForm w14:val="lining"/>
    </w:rPr>
  </w:style>
  <w:style w:type="paragraph" w:customStyle="1" w:styleId="Tablenumber">
    <w:name w:val="Table number"/>
    <w:basedOn w:val="Number"/>
    <w:qFormat/>
    <w:rsid w:val="00B903CF"/>
    <w:pPr>
      <w:numPr>
        <w:numId w:val="33"/>
      </w:numPr>
      <w:spacing w:line="259" w:lineRule="auto"/>
      <w:ind w:left="245" w:hanging="245"/>
    </w:pPr>
    <w:rPr>
      <w:rFonts w:eastAsiaTheme="minorHAnsi" w:cstheme="minorBidi"/>
      <w:color w:val="000000" w:themeColor="text1"/>
      <w:sz w:val="18"/>
      <w:szCs w:val="22"/>
      <w14:numForm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83175">
      <w:bodyDiv w:val="1"/>
      <w:marLeft w:val="0"/>
      <w:marRight w:val="0"/>
      <w:marTop w:val="0"/>
      <w:marBottom w:val="0"/>
      <w:divBdr>
        <w:top w:val="none" w:sz="0" w:space="0" w:color="auto"/>
        <w:left w:val="none" w:sz="0" w:space="0" w:color="auto"/>
        <w:bottom w:val="none" w:sz="0" w:space="0" w:color="auto"/>
        <w:right w:val="none" w:sz="0" w:space="0" w:color="auto"/>
      </w:divBdr>
      <w:divsChild>
        <w:div w:id="392969922">
          <w:marLeft w:val="547"/>
          <w:marRight w:val="0"/>
          <w:marTop w:val="106"/>
          <w:marBottom w:val="0"/>
          <w:divBdr>
            <w:top w:val="none" w:sz="0" w:space="0" w:color="auto"/>
            <w:left w:val="none" w:sz="0" w:space="0" w:color="auto"/>
            <w:bottom w:val="none" w:sz="0" w:space="0" w:color="auto"/>
            <w:right w:val="none" w:sz="0" w:space="0" w:color="auto"/>
          </w:divBdr>
        </w:div>
        <w:div w:id="1028600098">
          <w:marLeft w:val="547"/>
          <w:marRight w:val="0"/>
          <w:marTop w:val="106"/>
          <w:marBottom w:val="0"/>
          <w:divBdr>
            <w:top w:val="none" w:sz="0" w:space="0" w:color="auto"/>
            <w:left w:val="none" w:sz="0" w:space="0" w:color="auto"/>
            <w:bottom w:val="none" w:sz="0" w:space="0" w:color="auto"/>
            <w:right w:val="none" w:sz="0" w:space="0" w:color="auto"/>
          </w:divBdr>
        </w:div>
        <w:div w:id="100953442">
          <w:marLeft w:val="547"/>
          <w:marRight w:val="0"/>
          <w:marTop w:val="106"/>
          <w:marBottom w:val="0"/>
          <w:divBdr>
            <w:top w:val="none" w:sz="0" w:space="0" w:color="auto"/>
            <w:left w:val="none" w:sz="0" w:space="0" w:color="auto"/>
            <w:bottom w:val="none" w:sz="0" w:space="0" w:color="auto"/>
            <w:right w:val="none" w:sz="0" w:space="0" w:color="auto"/>
          </w:divBdr>
        </w:div>
      </w:divsChild>
    </w:div>
    <w:div w:id="18671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encymeddirectors.wa.gov/calculator/dosecalculato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creativecommons.org/licenses/by-nc-sa/4.0/" TargetMode="External"/><Relationship Id="rId4" Type="http://schemas.openxmlformats.org/officeDocument/2006/relationships/hyperlink" Target="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ke2\Desktop\6BB%20Toolk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6BB Toolkit</Template>
  <TotalTime>3</TotalTime>
  <Pages>5</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Brooke Ike</dc:creator>
  <cp:lastModifiedBy>Brooke Ike</cp:lastModifiedBy>
  <cp:revision>3</cp:revision>
  <dcterms:created xsi:type="dcterms:W3CDTF">2018-10-03T01:02:00Z</dcterms:created>
  <dcterms:modified xsi:type="dcterms:W3CDTF">2018-10-03T01:05:00Z</dcterms:modified>
</cp:coreProperties>
</file>