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ACED5" w14:textId="327E58F3" w:rsidR="00D4694F" w:rsidRDefault="005E706C" w:rsidP="00B903CF">
      <w:pPr>
        <w:pStyle w:val="Heading1"/>
      </w:pPr>
      <w:bookmarkStart w:id="0" w:name="_Toc1997742"/>
      <w:bookmarkStart w:id="1" w:name="_Toc1997824"/>
      <w:r>
        <w:t>Model o</w:t>
      </w:r>
      <w:r w:rsidR="00C057CA" w:rsidRPr="00ED1930">
        <w:t xml:space="preserve">pioid </w:t>
      </w:r>
      <w:r>
        <w:t xml:space="preserve">prescribing </w:t>
      </w:r>
      <w:r w:rsidR="00C057CA" w:rsidRPr="00ED1930">
        <w:t>polic</w:t>
      </w:r>
      <w:r>
        <w:t>y</w:t>
      </w:r>
      <w:bookmarkEnd w:id="0"/>
      <w:bookmarkEnd w:id="1"/>
    </w:p>
    <w:p w14:paraId="722ACED6" w14:textId="53F18C7F" w:rsidR="003355DE" w:rsidRPr="003355DE" w:rsidRDefault="003355DE" w:rsidP="00B903CF">
      <w:pPr>
        <w:pStyle w:val="BodyText"/>
      </w:pPr>
      <w:r>
        <w:t>This model policy was developed using the CDC Guidelines for Prescribing Opioids for Chronic Pain</w:t>
      </w:r>
      <w:r w:rsidR="00910900">
        <w:t xml:space="preserve"> and Washington</w:t>
      </w:r>
      <w:r w:rsidR="001B3918">
        <w:t xml:space="preserve"> State Opioid Prescribing Rules</w:t>
      </w:r>
      <w:r w:rsidR="00D07D63">
        <w:t>. It is</w:t>
      </w:r>
      <w:r w:rsidR="005D7BDA">
        <w:t xml:space="preserve"> an example </w:t>
      </w:r>
      <w:r w:rsidR="00AA0B0E">
        <w:t xml:space="preserve">that </w:t>
      </w:r>
      <w:r w:rsidR="005D7BDA">
        <w:t>clinics</w:t>
      </w:r>
      <w:r w:rsidR="00AA0B0E">
        <w:t xml:space="preserve"> </w:t>
      </w:r>
      <w:r w:rsidR="00C52484">
        <w:t xml:space="preserve">can </w:t>
      </w:r>
      <w:r w:rsidR="00C711A4">
        <w:t>use</w:t>
      </w:r>
      <w:r w:rsidR="005D7BDA">
        <w:t xml:space="preserve"> when revising their policies.</w:t>
      </w:r>
    </w:p>
    <w:p w14:paraId="722ACED7" w14:textId="77777777" w:rsidR="005E706C" w:rsidRPr="00BD7B9D" w:rsidRDefault="005E706C" w:rsidP="000721A4">
      <w:pPr>
        <w:pStyle w:val="BodyText"/>
        <w:spacing w:after="0"/>
      </w:pPr>
      <w:r w:rsidRPr="00BD7B9D">
        <w:rPr>
          <w:b/>
        </w:rPr>
        <w:t>Revised</w:t>
      </w:r>
      <w:r w:rsidRPr="00BD7B9D">
        <w:t xml:space="preserve">: </w:t>
      </w:r>
      <w:r w:rsidR="004011A7" w:rsidRPr="00BD7B9D">
        <w:t>DATE</w:t>
      </w:r>
    </w:p>
    <w:p w14:paraId="722ACED8" w14:textId="77777777" w:rsidR="005E706C" w:rsidRPr="00BD7B9D" w:rsidRDefault="005E706C" w:rsidP="000721A4">
      <w:pPr>
        <w:pStyle w:val="BodyText"/>
        <w:spacing w:after="0"/>
      </w:pPr>
      <w:r w:rsidRPr="00BD7B9D">
        <w:rPr>
          <w:b/>
        </w:rPr>
        <w:t>Next review date</w:t>
      </w:r>
      <w:r w:rsidRPr="00BD7B9D">
        <w:t xml:space="preserve">: </w:t>
      </w:r>
      <w:r w:rsidR="004011A7" w:rsidRPr="00BD7B9D">
        <w:t>DATE</w:t>
      </w:r>
    </w:p>
    <w:p w14:paraId="722ACED9" w14:textId="77777777" w:rsidR="005E706C" w:rsidRPr="00BD7B9D" w:rsidRDefault="005E706C" w:rsidP="000721A4">
      <w:pPr>
        <w:pStyle w:val="BodyText"/>
        <w:spacing w:after="0"/>
      </w:pPr>
      <w:r w:rsidRPr="00BD7B9D">
        <w:rPr>
          <w:b/>
        </w:rPr>
        <w:t>Purpose</w:t>
      </w:r>
      <w:r w:rsidRPr="00BD7B9D">
        <w:t xml:space="preserve">: To standardize prescribing guidelines for </w:t>
      </w:r>
      <w:r w:rsidR="00E94F47" w:rsidRPr="00BD7B9D">
        <w:t xml:space="preserve">non-cancer </w:t>
      </w:r>
      <w:r w:rsidRPr="00BD7B9D">
        <w:t>opioid</w:t>
      </w:r>
      <w:r w:rsidR="00E94F47" w:rsidRPr="00BD7B9D">
        <w:t xml:space="preserve"> use</w:t>
      </w:r>
      <w:r w:rsidRPr="00BD7B9D">
        <w:t xml:space="preserve">. </w:t>
      </w:r>
    </w:p>
    <w:p w14:paraId="722ACEDA" w14:textId="4FFF9C05" w:rsidR="005E706C" w:rsidRPr="00BD7B9D" w:rsidRDefault="005E706C" w:rsidP="00B903CF">
      <w:pPr>
        <w:pStyle w:val="BodyText"/>
      </w:pPr>
      <w:r w:rsidRPr="00BD7B9D">
        <w:rPr>
          <w:b/>
        </w:rPr>
        <w:t>Scope</w:t>
      </w:r>
      <w:r w:rsidRPr="00BD7B9D">
        <w:t xml:space="preserve">: This policy covers treatment of patients prescribed opioids </w:t>
      </w:r>
      <w:r w:rsidR="00D652B4" w:rsidRPr="00BD7B9D">
        <w:t>for</w:t>
      </w:r>
      <w:r w:rsidR="00565C13" w:rsidRPr="00BD7B9D">
        <w:t xml:space="preserve"> acute pain (0 to &lt; 6 weeks), subacute pain (6 to 12 weeks), and</w:t>
      </w:r>
      <w:r w:rsidR="00D91175" w:rsidRPr="00BD7B9D">
        <w:t xml:space="preserve"> chronic pain</w:t>
      </w:r>
      <w:r w:rsidR="001C5EA0" w:rsidRPr="00BD7B9D">
        <w:t xml:space="preserve"> (</w:t>
      </w:r>
      <w:r w:rsidR="00883AA6">
        <w:t>&gt;</w:t>
      </w:r>
      <w:r w:rsidR="001C5EA0" w:rsidRPr="00BD7B9D">
        <w:t xml:space="preserve"> 12 weeks)</w:t>
      </w:r>
      <w:r w:rsidRPr="00BD7B9D">
        <w:t>.</w:t>
      </w:r>
      <w:r w:rsidR="00565C13" w:rsidRPr="00BD7B9D">
        <w:t xml:space="preserve"> </w:t>
      </w:r>
    </w:p>
    <w:p w14:paraId="0196CC1A" w14:textId="77777777" w:rsidR="00515E9B" w:rsidRPr="00BD7B9D" w:rsidRDefault="00515E9B" w:rsidP="00515E9B">
      <w:pPr>
        <w:pStyle w:val="Heading2"/>
      </w:pPr>
      <w:r w:rsidRPr="00BD7B9D">
        <w:t>Contents</w:t>
      </w:r>
    </w:p>
    <w:p w14:paraId="1120A9AF" w14:textId="7550BEF0" w:rsidR="00515E9B" w:rsidRPr="00BD7B9D" w:rsidRDefault="00515E9B" w:rsidP="00515E9B">
      <w:pPr>
        <w:pStyle w:val="BodyText"/>
      </w:pPr>
      <w:r w:rsidRPr="00BD7B9D">
        <w:t xml:space="preserve">The policy is separated into </w:t>
      </w:r>
      <w:r w:rsidR="00AC27F3" w:rsidRPr="00BD7B9D">
        <w:t>5 sections</w:t>
      </w:r>
      <w:r w:rsidR="00125DDB" w:rsidRPr="00BD7B9D">
        <w:t xml:space="preserve"> and an appendix.</w:t>
      </w:r>
    </w:p>
    <w:p w14:paraId="3D7BB173" w14:textId="65AAC647" w:rsidR="0088729E" w:rsidRPr="00BD7B9D" w:rsidRDefault="00ED04EF" w:rsidP="00AC27F3">
      <w:pPr>
        <w:pStyle w:val="Number"/>
      </w:pPr>
      <w:hyperlink w:anchor="_Section_1" w:history="1">
        <w:r w:rsidR="00CC2C3B" w:rsidRPr="00BD7B9D">
          <w:t>SECTION 1</w:t>
        </w:r>
      </w:hyperlink>
      <w:r w:rsidR="00CC2C3B" w:rsidRPr="00BD7B9D">
        <w:t xml:space="preserve">: </w:t>
      </w:r>
      <w:r w:rsidR="0088729E" w:rsidRPr="00BD7B9D">
        <w:t>Patients with acute</w:t>
      </w:r>
      <w:r w:rsidR="003D36EE" w:rsidRPr="00BD7B9D">
        <w:t xml:space="preserve"> pain</w:t>
      </w:r>
      <w:r w:rsidR="0088729E" w:rsidRPr="00BD7B9D">
        <w:t xml:space="preserve"> (0 to &lt; 6 weeks) </w:t>
      </w:r>
      <w:r w:rsidR="003D36EE" w:rsidRPr="00BD7B9D">
        <w:t>and</w:t>
      </w:r>
      <w:r w:rsidR="0088729E" w:rsidRPr="00BD7B9D">
        <w:t xml:space="preserve"> subacute</w:t>
      </w:r>
      <w:r w:rsidR="003D36EE" w:rsidRPr="00BD7B9D">
        <w:t xml:space="preserve"> pain (6 to &lt; 12 weeks)</w:t>
      </w:r>
    </w:p>
    <w:p w14:paraId="2A309423" w14:textId="0584D32D" w:rsidR="0088729E" w:rsidRPr="00BD7B9D" w:rsidRDefault="00960209" w:rsidP="00960209">
      <w:pPr>
        <w:pStyle w:val="Contentsdescriptions"/>
      </w:pPr>
      <w:r w:rsidRPr="00BD7B9D">
        <w:t>This refers to patients receiving opioids for pain that has occurred for less than 12 weeks.</w:t>
      </w:r>
    </w:p>
    <w:p w14:paraId="2D1A66CF" w14:textId="66668960" w:rsidR="00515E9B" w:rsidRPr="00BD7B9D" w:rsidRDefault="00ED04EF" w:rsidP="00AC27F3">
      <w:pPr>
        <w:pStyle w:val="Number"/>
      </w:pPr>
      <w:hyperlink w:anchor="_Section_2" w:history="1">
        <w:r w:rsidR="00CC2C3B" w:rsidRPr="00BD7B9D">
          <w:t>SECTION 2</w:t>
        </w:r>
      </w:hyperlink>
      <w:r w:rsidR="00CC2C3B" w:rsidRPr="00BD7B9D">
        <w:t xml:space="preserve">: </w:t>
      </w:r>
      <w:r w:rsidR="00515E9B" w:rsidRPr="00BD7B9D">
        <w:t xml:space="preserve">Patients </w:t>
      </w:r>
      <w:r w:rsidR="00335B3D" w:rsidRPr="00BD7B9D">
        <w:t xml:space="preserve">whose pain is </w:t>
      </w:r>
      <w:r w:rsidR="00515E9B" w:rsidRPr="00BD7B9D">
        <w:t>transitioning</w:t>
      </w:r>
      <w:r w:rsidR="00AC27F3" w:rsidRPr="00BD7B9D">
        <w:t xml:space="preserve"> from subacute</w:t>
      </w:r>
      <w:r w:rsidR="00384AB4" w:rsidRPr="00BD7B9D">
        <w:t xml:space="preserve"> (6 to 12 weeks)</w:t>
      </w:r>
      <w:r w:rsidR="00AC27F3" w:rsidRPr="00BD7B9D">
        <w:t xml:space="preserve"> to chronic </w:t>
      </w:r>
      <w:r w:rsidR="00384AB4" w:rsidRPr="00BD7B9D">
        <w:t>(</w:t>
      </w:r>
      <w:r w:rsidR="00F40F2A" w:rsidRPr="00BD7B9D">
        <w:t>&gt;</w:t>
      </w:r>
      <w:r w:rsidR="00384AB4" w:rsidRPr="00BD7B9D">
        <w:t xml:space="preserve"> 12 weeks)</w:t>
      </w:r>
    </w:p>
    <w:p w14:paraId="68E6D612" w14:textId="50C96D93" w:rsidR="00515E9B" w:rsidRPr="00BD7B9D" w:rsidRDefault="00515E9B" w:rsidP="00960209">
      <w:pPr>
        <w:pStyle w:val="Contentsdescriptions"/>
      </w:pPr>
      <w:r w:rsidRPr="00BD7B9D">
        <w:t xml:space="preserve">This refers to patients </w:t>
      </w:r>
      <w:r w:rsidR="00960209" w:rsidRPr="00BD7B9D">
        <w:t xml:space="preserve">receiving opioids for pain that are </w:t>
      </w:r>
      <w:r w:rsidRPr="00BD7B9D">
        <w:t>entering their 1</w:t>
      </w:r>
      <w:r w:rsidR="00F40F2A" w:rsidRPr="00BD7B9D">
        <w:t>3</w:t>
      </w:r>
      <w:r w:rsidRPr="00BD7B9D">
        <w:t>th week of pain.</w:t>
      </w:r>
    </w:p>
    <w:p w14:paraId="7AAF61F1" w14:textId="12887BE7" w:rsidR="00515E9B" w:rsidRPr="00BD7B9D" w:rsidRDefault="00ED04EF" w:rsidP="00077176">
      <w:pPr>
        <w:pStyle w:val="Number"/>
      </w:pPr>
      <w:hyperlink w:anchor="_Section_3" w:history="1">
        <w:r w:rsidR="00CC2C3B" w:rsidRPr="00BD7B9D">
          <w:t>SECTION 3</w:t>
        </w:r>
      </w:hyperlink>
      <w:r w:rsidR="00CC2C3B" w:rsidRPr="00BD7B9D">
        <w:t xml:space="preserve">: </w:t>
      </w:r>
      <w:r w:rsidR="00515E9B" w:rsidRPr="00BD7B9D">
        <w:t>Patients new to a panel who are alrea</w:t>
      </w:r>
      <w:r w:rsidR="00077176" w:rsidRPr="00BD7B9D">
        <w:t>dy on long-term opioid therapy</w:t>
      </w:r>
    </w:p>
    <w:p w14:paraId="354D4433" w14:textId="088BC87F" w:rsidR="00515E9B" w:rsidRPr="00BD7B9D" w:rsidRDefault="00515E9B" w:rsidP="00077176">
      <w:pPr>
        <w:pStyle w:val="Contentsdescriptions"/>
      </w:pPr>
      <w:r w:rsidRPr="00BD7B9D">
        <w:t xml:space="preserve">This refers to patients </w:t>
      </w:r>
      <w:r w:rsidR="00335B3D" w:rsidRPr="00BD7B9D">
        <w:t xml:space="preserve">that </w:t>
      </w:r>
      <w:r w:rsidR="00C52484" w:rsidRPr="00BD7B9D">
        <w:t xml:space="preserve">a clinician </w:t>
      </w:r>
      <w:r w:rsidRPr="00BD7B9D">
        <w:t>inherit</w:t>
      </w:r>
      <w:r w:rsidR="00C52484" w:rsidRPr="00BD7B9D">
        <w:t>s</w:t>
      </w:r>
      <w:r w:rsidRPr="00BD7B9D">
        <w:t xml:space="preserve"> from another </w:t>
      </w:r>
      <w:r w:rsidR="00F40F2A" w:rsidRPr="00BD7B9D">
        <w:t>clinician</w:t>
      </w:r>
      <w:r w:rsidRPr="00BD7B9D">
        <w:t xml:space="preserve"> </w:t>
      </w:r>
      <w:r w:rsidR="00335B3D" w:rsidRPr="00BD7B9D">
        <w:t xml:space="preserve">and </w:t>
      </w:r>
      <w:r w:rsidRPr="00BD7B9D">
        <w:t xml:space="preserve">who have </w:t>
      </w:r>
      <w:r w:rsidR="004A77DB" w:rsidRPr="00BD7B9D">
        <w:t>received</w:t>
      </w:r>
      <w:r w:rsidRPr="00BD7B9D">
        <w:t xml:space="preserve"> opioid therapy for </w:t>
      </w:r>
      <w:r w:rsidR="00F40F2A" w:rsidRPr="00BD7B9D">
        <w:t>more than</w:t>
      </w:r>
      <w:r w:rsidRPr="00BD7B9D">
        <w:t xml:space="preserve"> 12 weeks.</w:t>
      </w:r>
    </w:p>
    <w:p w14:paraId="703E36DC" w14:textId="20F8DDE2" w:rsidR="00515E9B" w:rsidRPr="00BD7B9D" w:rsidRDefault="00ED04EF" w:rsidP="00077176">
      <w:pPr>
        <w:pStyle w:val="Number"/>
      </w:pPr>
      <w:hyperlink w:anchor="_Section_4" w:history="1">
        <w:r w:rsidR="00CC2C3B" w:rsidRPr="00BD7B9D">
          <w:t>SECTION 4</w:t>
        </w:r>
      </w:hyperlink>
      <w:r w:rsidR="00CC2C3B" w:rsidRPr="00BD7B9D">
        <w:t xml:space="preserve">: </w:t>
      </w:r>
      <w:r w:rsidR="00515E9B" w:rsidRPr="00BD7B9D">
        <w:t>Existing clinic patien</w:t>
      </w:r>
      <w:r w:rsidR="00077176" w:rsidRPr="00BD7B9D">
        <w:t>ts on long-term opioid therapy</w:t>
      </w:r>
    </w:p>
    <w:p w14:paraId="1DCB8A10" w14:textId="449BEA1E" w:rsidR="00515E9B" w:rsidRPr="00BD7B9D" w:rsidRDefault="00515E9B" w:rsidP="00530545">
      <w:pPr>
        <w:pStyle w:val="Contentsdescriptions"/>
      </w:pPr>
      <w:r w:rsidRPr="00BD7B9D">
        <w:t xml:space="preserve">This refers to </w:t>
      </w:r>
      <w:r w:rsidR="00335B3D" w:rsidRPr="00BD7B9D">
        <w:t xml:space="preserve">a clinician’s </w:t>
      </w:r>
      <w:r w:rsidRPr="00BD7B9D">
        <w:t xml:space="preserve">existing patients who have </w:t>
      </w:r>
      <w:r w:rsidR="004A77DB" w:rsidRPr="00BD7B9D">
        <w:t>received</w:t>
      </w:r>
      <w:r w:rsidRPr="00BD7B9D">
        <w:t xml:space="preserve"> opioid therapy for </w:t>
      </w:r>
      <w:r w:rsidR="00F40F2A" w:rsidRPr="00BD7B9D">
        <w:t>more than</w:t>
      </w:r>
      <w:r w:rsidRPr="00BD7B9D">
        <w:t xml:space="preserve"> 12 weeks.</w:t>
      </w:r>
    </w:p>
    <w:p w14:paraId="7E5E8D5C" w14:textId="00C682B7" w:rsidR="00515E9B" w:rsidRPr="00BD7B9D" w:rsidRDefault="00ED04EF" w:rsidP="00125DDB">
      <w:pPr>
        <w:pStyle w:val="Number"/>
      </w:pPr>
      <w:hyperlink w:anchor="_Section_5" w:history="1">
        <w:r w:rsidR="00CC2C3B" w:rsidRPr="00BD7B9D">
          <w:t>SECTION 5</w:t>
        </w:r>
      </w:hyperlink>
      <w:r w:rsidR="00CC2C3B" w:rsidRPr="00BD7B9D">
        <w:t xml:space="preserve">: </w:t>
      </w:r>
      <w:r w:rsidR="00515E9B" w:rsidRPr="00BD7B9D">
        <w:t>What to do i</w:t>
      </w:r>
      <w:r w:rsidR="00125DDB" w:rsidRPr="00BD7B9D">
        <w:t>n the case of concerning behaviors</w:t>
      </w:r>
    </w:p>
    <w:p w14:paraId="12934926" w14:textId="089C55A1" w:rsidR="003A620D" w:rsidRPr="00BD7B9D" w:rsidRDefault="003A620D" w:rsidP="00125DDB">
      <w:pPr>
        <w:pStyle w:val="Contentsdescriptions"/>
      </w:pPr>
      <w:r w:rsidRPr="00BD7B9D">
        <w:t xml:space="preserve">This section pertains to patients who demonstrate concerning behaviors, such as repeated </w:t>
      </w:r>
      <w:hyperlink w:anchor="_Aberrant_Behaviors" w:history="1">
        <w:r w:rsidRPr="00BD7B9D">
          <w:t>aberrant behaviors</w:t>
        </w:r>
      </w:hyperlink>
      <w:r w:rsidRPr="00BD7B9D">
        <w:t>, inappropriate behavior with staff or clinicians, diverting medication, or using non-prescribed substances that put the patient at risk.</w:t>
      </w:r>
    </w:p>
    <w:p w14:paraId="159C26E8" w14:textId="6C364C55" w:rsidR="009F76D8" w:rsidRPr="00BD7B9D" w:rsidRDefault="00ED04EF" w:rsidP="009F76D8">
      <w:pPr>
        <w:pStyle w:val="Number"/>
      </w:pPr>
      <w:hyperlink w:anchor="_Appendix:_Risk_Stratification" w:history="1">
        <w:r w:rsidR="00CC2C3B" w:rsidRPr="00BD7B9D">
          <w:t>APPENDIX</w:t>
        </w:r>
      </w:hyperlink>
      <w:r w:rsidR="009F76D8" w:rsidRPr="00BD7B9D">
        <w:t xml:space="preserve">: Risk stratification </w:t>
      </w:r>
      <w:r w:rsidR="004A77DB" w:rsidRPr="00BD7B9D">
        <w:t xml:space="preserve">of patients receiving </w:t>
      </w:r>
      <w:r w:rsidR="009F76D8" w:rsidRPr="00BD7B9D">
        <w:t xml:space="preserve">opioid </w:t>
      </w:r>
      <w:r w:rsidR="004A77DB" w:rsidRPr="00BD7B9D">
        <w:t>therapy</w:t>
      </w:r>
    </w:p>
    <w:p w14:paraId="2C42EE3A" w14:textId="7A1B4B24" w:rsidR="009F76D8" w:rsidRPr="00BD7B9D" w:rsidRDefault="009F76D8" w:rsidP="009F76D8">
      <w:pPr>
        <w:pStyle w:val="Contentsdescriptions"/>
      </w:pPr>
      <w:r w:rsidRPr="00BD7B9D">
        <w:t xml:space="preserve">This appendix </w:t>
      </w:r>
      <w:r w:rsidR="00335B3D" w:rsidRPr="00BD7B9D">
        <w:t xml:space="preserve">provides </w:t>
      </w:r>
      <w:r w:rsidRPr="00BD7B9D">
        <w:t>guidance on how to risk stratify patients</w:t>
      </w:r>
      <w:r w:rsidR="001B2499" w:rsidRPr="00BD7B9D">
        <w:t>.</w:t>
      </w:r>
    </w:p>
    <w:p w14:paraId="2CBE7F1E" w14:textId="03B14CD4" w:rsidR="00835342" w:rsidRPr="00D1496E" w:rsidRDefault="00835342">
      <w:pPr>
        <w:rPr>
          <w:sz w:val="20"/>
          <w:szCs w:val="20"/>
        </w:rPr>
      </w:pPr>
    </w:p>
    <w:p w14:paraId="0A5C019E" w14:textId="77777777" w:rsidR="00835342" w:rsidRDefault="00835342" w:rsidP="00835342">
      <w:pPr>
        <w:pStyle w:val="Checklist"/>
        <w:numPr>
          <w:ilvl w:val="0"/>
          <w:numId w:val="0"/>
        </w:numPr>
        <w:ind w:left="360" w:hanging="360"/>
      </w:pPr>
    </w:p>
    <w:p w14:paraId="62D168E9" w14:textId="77777777" w:rsidR="00617B7C" w:rsidRDefault="00617B7C">
      <w:pPr>
        <w:rPr>
          <w:rFonts w:ascii="Corbel" w:eastAsiaTheme="majorEastAsia" w:hAnsi="Corbel" w:cstheme="majorBidi"/>
          <w:bCs/>
          <w:color w:val="000000" w:themeColor="text1"/>
          <w:sz w:val="32"/>
          <w:szCs w:val="52"/>
        </w:rPr>
      </w:pPr>
      <w:bookmarkStart w:id="2" w:name="_Toc1997744"/>
      <w:bookmarkStart w:id="3" w:name="_Toc1997825"/>
      <w:r>
        <w:br w:type="page"/>
      </w:r>
    </w:p>
    <w:p w14:paraId="22B5669E" w14:textId="5EDF8733" w:rsidR="00AC31C9" w:rsidRDefault="00AC31C9" w:rsidP="00CC2C3B">
      <w:pPr>
        <w:pStyle w:val="Heading2"/>
        <w:shd w:val="clear" w:color="auto" w:fill="FFF2CC" w:themeFill="accent4" w:themeFillTint="33"/>
      </w:pPr>
      <w:bookmarkStart w:id="4" w:name="_Section_1"/>
      <w:bookmarkEnd w:id="4"/>
      <w:r>
        <w:lastRenderedPageBreak/>
        <w:t>Section 1</w:t>
      </w:r>
    </w:p>
    <w:p w14:paraId="34944F1F" w14:textId="07746510" w:rsidR="00AC31C9" w:rsidRDefault="00AC31C9" w:rsidP="00CC2C3B">
      <w:pPr>
        <w:pStyle w:val="Subtitle"/>
        <w:shd w:val="clear" w:color="auto" w:fill="FFF2CC" w:themeFill="accent4" w:themeFillTint="33"/>
      </w:pPr>
      <w:r>
        <w:t>Patients with acute pain (0 to &lt; 6 weeks) and sub-acute pain (6 to 12 weeks)</w:t>
      </w:r>
    </w:p>
    <w:p w14:paraId="0D9D7B2E" w14:textId="4EFF646B" w:rsidR="00AC31C9" w:rsidRDefault="00AC31C9" w:rsidP="00AC31C9">
      <w:pPr>
        <w:pStyle w:val="Bullet"/>
        <w:numPr>
          <w:ilvl w:val="0"/>
          <w:numId w:val="0"/>
        </w:numPr>
      </w:pPr>
      <w:r>
        <w:rPr>
          <w:noProof/>
        </w:rPr>
        <mc:AlternateContent>
          <mc:Choice Requires="wps">
            <w:drawing>
              <wp:anchor distT="0" distB="0" distL="114300" distR="114300" simplePos="0" relativeHeight="251658245" behindDoc="0" locked="0" layoutInCell="1" allowOverlap="1" wp14:anchorId="0EE74FF4" wp14:editId="5B1FD69C">
                <wp:simplePos x="0" y="0"/>
                <wp:positionH relativeFrom="margin">
                  <wp:posOffset>3686810</wp:posOffset>
                </wp:positionH>
                <wp:positionV relativeFrom="paragraph">
                  <wp:posOffset>168910</wp:posOffset>
                </wp:positionV>
                <wp:extent cx="3274695" cy="4243705"/>
                <wp:effectExtent l="57150" t="38100" r="59055" b="80645"/>
                <wp:wrapSquare wrapText="bothSides"/>
                <wp:docPr id="6" name="Rounded Rectangle 6"/>
                <wp:cNvGraphicFramePr/>
                <a:graphic xmlns:a="http://schemas.openxmlformats.org/drawingml/2006/main">
                  <a:graphicData uri="http://schemas.microsoft.com/office/word/2010/wordprocessingShape">
                    <wps:wsp>
                      <wps:cNvSpPr/>
                      <wps:spPr>
                        <a:xfrm>
                          <a:off x="0" y="0"/>
                          <a:ext cx="3274695" cy="424370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71D753FF" w14:textId="77777777" w:rsidR="00951A45" w:rsidRPr="00AE0425" w:rsidRDefault="00951A45" w:rsidP="00AC31C9">
                            <w:pPr>
                              <w:jc w:val="center"/>
                              <w:rPr>
                                <w:rFonts w:ascii="Corbel" w:hAnsi="Corbel"/>
                                <w:color w:val="FFFFFF" w:themeColor="background1"/>
                                <w:u w:val="single"/>
                              </w:rPr>
                            </w:pPr>
                            <w:r w:rsidRPr="00AE0425">
                              <w:rPr>
                                <w:rFonts w:ascii="Corbel" w:hAnsi="Corbel"/>
                                <w:color w:val="FFFFFF" w:themeColor="background1"/>
                                <w:u w:val="single"/>
                              </w:rPr>
                              <w:t>General rules for opioid prescribing</w:t>
                            </w:r>
                          </w:p>
                          <w:p w14:paraId="6CBE4CFA" w14:textId="77777777" w:rsidR="00951A45" w:rsidRPr="00F40F2A" w:rsidRDefault="00951A45" w:rsidP="00AC31C9">
                            <w:pPr>
                              <w:pStyle w:val="Bullet"/>
                              <w:rPr>
                                <w:color w:val="FFFFFF" w:themeColor="background1"/>
                              </w:rPr>
                            </w:pPr>
                            <w:r w:rsidRPr="00F40F2A">
                              <w:rPr>
                                <w:color w:val="FFFFFF" w:themeColor="background1"/>
                              </w:rPr>
                              <w:t>Only prescribe opioids if</w:t>
                            </w:r>
                          </w:p>
                          <w:p w14:paraId="5B9C1006" w14:textId="4D128F7F" w:rsidR="00951A45" w:rsidRPr="00F40F2A" w:rsidRDefault="00951A45" w:rsidP="00AC31C9">
                            <w:pPr>
                              <w:pStyle w:val="Subbullet"/>
                              <w:rPr>
                                <w:color w:val="FFFFFF" w:themeColor="background1"/>
                              </w:rPr>
                            </w:pPr>
                            <w:r w:rsidRPr="00F40F2A">
                              <w:rPr>
                                <w:color w:val="FFFFFF" w:themeColor="background1"/>
                              </w:rPr>
                              <w:t>The patient has a diagnosis for pain that will benefit from opioid medication.</w:t>
                            </w:r>
                          </w:p>
                          <w:p w14:paraId="0D1FA41A" w14:textId="77777777" w:rsidR="00951A45" w:rsidRPr="00F40F2A" w:rsidRDefault="00951A45" w:rsidP="00AC31C9">
                            <w:pPr>
                              <w:pStyle w:val="Subbullet"/>
                              <w:rPr>
                                <w:color w:val="FFFFFF" w:themeColor="background1"/>
                              </w:rPr>
                            </w:pPr>
                            <w:r w:rsidRPr="00F40F2A">
                              <w:rPr>
                                <w:color w:val="FFFFFF" w:themeColor="background1"/>
                              </w:rPr>
                              <w:t>It improves the patient’s function or pain.</w:t>
                            </w:r>
                          </w:p>
                          <w:p w14:paraId="11E73ED5" w14:textId="77777777" w:rsidR="00951A45" w:rsidRPr="0091310B" w:rsidRDefault="00951A45" w:rsidP="00AC31C9">
                            <w:pPr>
                              <w:pStyle w:val="Bullet"/>
                              <w:rPr>
                                <w:color w:val="FFFFFF" w:themeColor="background1"/>
                              </w:rPr>
                            </w:pPr>
                            <w:r w:rsidRPr="0091310B">
                              <w:rPr>
                                <w:color w:val="FFFFFF" w:themeColor="background1"/>
                              </w:rPr>
                              <w:t>Prescribe the lowest effective dose of immediate-release opioids. Avoid doses of ≥50 MED.</w:t>
                            </w:r>
                          </w:p>
                          <w:p w14:paraId="6F622C7F" w14:textId="12C11BAF" w:rsidR="00951A45" w:rsidRPr="0091310B" w:rsidRDefault="00951A45" w:rsidP="00AC31C9">
                            <w:pPr>
                              <w:pStyle w:val="Bullet"/>
                              <w:rPr>
                                <w:color w:val="FFFFFF" w:themeColor="background1"/>
                              </w:rPr>
                            </w:pPr>
                            <w:r w:rsidRPr="0091310B">
                              <w:rPr>
                                <w:color w:val="FFFFFF" w:themeColor="background1"/>
                              </w:rPr>
                              <w:t xml:space="preserve">Do not prescribe opioids for non-specific axial </w:t>
                            </w:r>
                            <w:r>
                              <w:rPr>
                                <w:color w:val="FFFFFF" w:themeColor="background1"/>
                              </w:rPr>
                              <w:t xml:space="preserve">(mechanical) </w:t>
                            </w:r>
                            <w:r w:rsidRPr="0091310B">
                              <w:rPr>
                                <w:color w:val="FFFFFF" w:themeColor="background1"/>
                              </w:rPr>
                              <w:t>low back pain, fibromyalgia, and chronic headaches.</w:t>
                            </w:r>
                          </w:p>
                          <w:p w14:paraId="0412353D" w14:textId="77777777" w:rsidR="00951A45" w:rsidRPr="00802FEE" w:rsidRDefault="00951A45" w:rsidP="00802FEE">
                            <w:pPr>
                              <w:pStyle w:val="Bullet"/>
                              <w:rPr>
                                <w:color w:val="FFFFFF" w:themeColor="background1"/>
                              </w:rPr>
                            </w:pPr>
                            <w:r w:rsidRPr="00802FEE">
                              <w:rPr>
                                <w:color w:val="FFFFFF" w:themeColor="background1"/>
                              </w:rPr>
                              <w:t>Do not refill opioid prescriptions without seeing the patient.</w:t>
                            </w:r>
                          </w:p>
                          <w:p w14:paraId="2451EA0B" w14:textId="005A4FE9" w:rsidR="00951A45" w:rsidRPr="001A4965" w:rsidRDefault="00951A45" w:rsidP="00AC31C9">
                            <w:pPr>
                              <w:pStyle w:val="Bullet"/>
                              <w:keepNext/>
                              <w:keepLines/>
                              <w:rPr>
                                <w:color w:val="FFFFFF" w:themeColor="background1"/>
                              </w:rPr>
                            </w:pPr>
                            <w:r w:rsidRPr="0091310B">
                              <w:rPr>
                                <w:color w:val="FFFFFF" w:themeColor="background1"/>
                              </w:rPr>
                              <w:t xml:space="preserve">Do not co-prescribe opioids and the following medications without </w:t>
                            </w:r>
                            <w:r>
                              <w:rPr>
                                <w:color w:val="FFFFFF" w:themeColor="background1"/>
                              </w:rPr>
                              <w:t xml:space="preserve">documentation in the record, </w:t>
                            </w:r>
                            <w:r w:rsidRPr="0091310B">
                              <w:rPr>
                                <w:color w:val="FFFFFF" w:themeColor="background1"/>
                              </w:rPr>
                              <w:t>discussion of risks, consultation with the patient’s other prescribers, and consideration of tapering:</w:t>
                            </w:r>
                          </w:p>
                          <w:p w14:paraId="758C5CAB" w14:textId="77777777" w:rsidR="00951A45" w:rsidRPr="00C71B7D" w:rsidRDefault="00951A45" w:rsidP="00AC31C9">
                            <w:pPr>
                              <w:pStyle w:val="Subbullet"/>
                              <w:rPr>
                                <w:color w:val="FFFFFF" w:themeColor="background1"/>
                              </w:rPr>
                            </w:pPr>
                            <w:r w:rsidRPr="00C71B7D">
                              <w:rPr>
                                <w:color w:val="FFFFFF" w:themeColor="background1"/>
                              </w:rPr>
                              <w:t>Benzodiazepines, barbiturates, sedatives, carisoprodol, non-benzodiazepine hypnotics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74FF4" id="Rounded Rectangle 6" o:spid="_x0000_s1026" style="position:absolute;margin-left:290.3pt;margin-top:13.3pt;width:257.85pt;height:334.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" fillcolor="#65a0d7 [3028]" stroked="f">
                <v:fill color2="#5898d4 [3172]" rotate="t" colors="0 #71a6db;.5 #559bdb;1 #438ac9" focus="100%" type="gradient">
                  <o:fill v:ext="view" type="gradientUnscaled"/>
                </v:fill>
                <v:shadow on="t" color="black" opacity="41287f" offset="0,1.5pt"/>
                <v:textbox>
                  <w:txbxContent>
                    <w:p w14:paraId="71D753FF" w14:textId="77777777" w:rsidR="00951A45" w:rsidRPr="00AE0425" w:rsidRDefault="00951A45" w:rsidP="00AC31C9">
                      <w:pPr>
                        <w:jc w:val="center"/>
                        <w:rPr>
                          <w:rFonts w:ascii="Corbel" w:hAnsi="Corbel"/>
                          <w:color w:val="FFFFFF" w:themeColor="background1"/>
                          <w:u w:val="single"/>
                        </w:rPr>
                      </w:pPr>
                      <w:r w:rsidRPr="00AE0425">
                        <w:rPr>
                          <w:rFonts w:ascii="Corbel" w:hAnsi="Corbel"/>
                          <w:color w:val="FFFFFF" w:themeColor="background1"/>
                          <w:u w:val="single"/>
                        </w:rPr>
                        <w:t>General rules for opioid prescribing</w:t>
                      </w:r>
                    </w:p>
                    <w:p w14:paraId="6CBE4CFA" w14:textId="77777777" w:rsidR="00951A45" w:rsidRPr="00F40F2A" w:rsidRDefault="00951A45" w:rsidP="00AC31C9">
                      <w:pPr>
                        <w:pStyle w:val="Bullet"/>
                        <w:rPr>
                          <w:color w:val="FFFFFF" w:themeColor="background1"/>
                        </w:rPr>
                      </w:pPr>
                      <w:r w:rsidRPr="00F40F2A">
                        <w:rPr>
                          <w:color w:val="FFFFFF" w:themeColor="background1"/>
                        </w:rPr>
                        <w:t>Only prescribe opioids if</w:t>
                      </w:r>
                    </w:p>
                    <w:p w14:paraId="5B9C1006" w14:textId="4D128F7F" w:rsidR="00951A45" w:rsidRPr="00F40F2A" w:rsidRDefault="00951A45" w:rsidP="00AC31C9">
                      <w:pPr>
                        <w:pStyle w:val="Subbullet"/>
                        <w:rPr>
                          <w:color w:val="FFFFFF" w:themeColor="background1"/>
                        </w:rPr>
                      </w:pPr>
                      <w:r w:rsidRPr="00F40F2A">
                        <w:rPr>
                          <w:color w:val="FFFFFF" w:themeColor="background1"/>
                        </w:rPr>
                        <w:t>The patient has a diagnosis for pain that will benefit from opioid medication.</w:t>
                      </w:r>
                    </w:p>
                    <w:p w14:paraId="0D1FA41A" w14:textId="77777777" w:rsidR="00951A45" w:rsidRPr="00F40F2A" w:rsidRDefault="00951A45" w:rsidP="00AC31C9">
                      <w:pPr>
                        <w:pStyle w:val="Subbullet"/>
                        <w:rPr>
                          <w:color w:val="FFFFFF" w:themeColor="background1"/>
                        </w:rPr>
                      </w:pPr>
                      <w:r w:rsidRPr="00F40F2A">
                        <w:rPr>
                          <w:color w:val="FFFFFF" w:themeColor="background1"/>
                        </w:rPr>
                        <w:t>It improves the patient’s function or pain.</w:t>
                      </w:r>
                    </w:p>
                    <w:p w14:paraId="11E73ED5" w14:textId="77777777" w:rsidR="00951A45" w:rsidRPr="0091310B" w:rsidRDefault="00951A45" w:rsidP="00AC31C9">
                      <w:pPr>
                        <w:pStyle w:val="Bullet"/>
                        <w:rPr>
                          <w:color w:val="FFFFFF" w:themeColor="background1"/>
                        </w:rPr>
                      </w:pPr>
                      <w:r w:rsidRPr="0091310B">
                        <w:rPr>
                          <w:color w:val="FFFFFF" w:themeColor="background1"/>
                        </w:rPr>
                        <w:t>Prescribe the lowest effective dose of immediate-release opioids. Avoid doses of ≥50 MED.</w:t>
                      </w:r>
                    </w:p>
                    <w:p w14:paraId="6F622C7F" w14:textId="12C11BAF" w:rsidR="00951A45" w:rsidRPr="0091310B" w:rsidRDefault="00951A45" w:rsidP="00AC31C9">
                      <w:pPr>
                        <w:pStyle w:val="Bullet"/>
                        <w:rPr>
                          <w:color w:val="FFFFFF" w:themeColor="background1"/>
                        </w:rPr>
                      </w:pPr>
                      <w:r w:rsidRPr="0091310B">
                        <w:rPr>
                          <w:color w:val="FFFFFF" w:themeColor="background1"/>
                        </w:rPr>
                        <w:t xml:space="preserve">Do not prescribe opioids for non-specific axial </w:t>
                      </w:r>
                      <w:r>
                        <w:rPr>
                          <w:color w:val="FFFFFF" w:themeColor="background1"/>
                        </w:rPr>
                        <w:t xml:space="preserve">(mechanical) </w:t>
                      </w:r>
                      <w:r w:rsidRPr="0091310B">
                        <w:rPr>
                          <w:color w:val="FFFFFF" w:themeColor="background1"/>
                        </w:rPr>
                        <w:t>low back pain, fibromyalgia, and chronic headaches.</w:t>
                      </w:r>
                    </w:p>
                    <w:p w14:paraId="0412353D" w14:textId="77777777" w:rsidR="00951A45" w:rsidRPr="00802FEE" w:rsidRDefault="00951A45" w:rsidP="00802FEE">
                      <w:pPr>
                        <w:pStyle w:val="Bullet"/>
                        <w:rPr>
                          <w:color w:val="FFFFFF" w:themeColor="background1"/>
                        </w:rPr>
                      </w:pPr>
                      <w:r w:rsidRPr="00802FEE">
                        <w:rPr>
                          <w:color w:val="FFFFFF" w:themeColor="background1"/>
                        </w:rPr>
                        <w:t>Do not refill opioid prescriptions without seeing the patient.</w:t>
                      </w:r>
                    </w:p>
                    <w:p w14:paraId="2451EA0B" w14:textId="005A4FE9" w:rsidR="00951A45" w:rsidRPr="001A4965" w:rsidRDefault="00951A45" w:rsidP="00AC31C9">
                      <w:pPr>
                        <w:pStyle w:val="Bullet"/>
                        <w:keepNext/>
                        <w:keepLines/>
                        <w:rPr>
                          <w:color w:val="FFFFFF" w:themeColor="background1"/>
                        </w:rPr>
                      </w:pPr>
                      <w:r w:rsidRPr="0091310B">
                        <w:rPr>
                          <w:color w:val="FFFFFF" w:themeColor="background1"/>
                        </w:rPr>
                        <w:t xml:space="preserve">Do not co-prescribe opioids and the following medications without </w:t>
                      </w:r>
                      <w:r>
                        <w:rPr>
                          <w:color w:val="FFFFFF" w:themeColor="background1"/>
                        </w:rPr>
                        <w:t xml:space="preserve">documentation in the record, </w:t>
                      </w:r>
                      <w:r w:rsidRPr="0091310B">
                        <w:rPr>
                          <w:color w:val="FFFFFF" w:themeColor="background1"/>
                        </w:rPr>
                        <w:t>discussion of risks, consultation with the patient’s other prescribers, and consideration of tapering:</w:t>
                      </w:r>
                    </w:p>
                    <w:p w14:paraId="758C5CAB" w14:textId="77777777" w:rsidR="00951A45" w:rsidRPr="00C71B7D" w:rsidRDefault="00951A45" w:rsidP="00AC31C9">
                      <w:pPr>
                        <w:pStyle w:val="Subbullet"/>
                        <w:rPr>
                          <w:color w:val="FFFFFF" w:themeColor="background1"/>
                        </w:rPr>
                      </w:pPr>
                      <w:r w:rsidRPr="00C71B7D">
                        <w:rPr>
                          <w:color w:val="FFFFFF" w:themeColor="background1"/>
                        </w:rPr>
                        <w:t>Benzodiazepines, barbiturates, sedatives, carisoprodol, non-benzodiazepine hypnotics</w:t>
                      </w:r>
                    </w:p>
                  </w:txbxContent>
                </v:textbox>
                <w10:wrap type="square" anchorx="margin"/>
              </v:roundrect>
            </w:pict>
          </mc:Fallback>
        </mc:AlternateContent>
      </w:r>
      <w:r>
        <w:t xml:space="preserve">This section discusses </w:t>
      </w:r>
      <w:r w:rsidR="00EC466B">
        <w:t xml:space="preserve">guideline-consistent </w:t>
      </w:r>
      <w:r>
        <w:t>care processes for patients with pain lasting between 0 and 12 weeks.</w:t>
      </w:r>
    </w:p>
    <w:p w14:paraId="5F0FD641" w14:textId="5868604C" w:rsidR="00AC31C9" w:rsidRDefault="00AC31C9" w:rsidP="00AC31C9">
      <w:pPr>
        <w:pStyle w:val="Bullet"/>
        <w:numPr>
          <w:ilvl w:val="0"/>
          <w:numId w:val="0"/>
        </w:numPr>
      </w:pPr>
    </w:p>
    <w:p w14:paraId="6D8B4E4D" w14:textId="352ECB5A" w:rsidR="00AC31C9" w:rsidRPr="00802FEE" w:rsidRDefault="00AC31C9" w:rsidP="00802FEE">
      <w:pPr>
        <w:pStyle w:val="Bullet"/>
      </w:pPr>
      <w:bookmarkStart w:id="5" w:name="_Hlk2002702"/>
      <w:r>
        <w:t xml:space="preserve">Encourage the use </w:t>
      </w:r>
      <w:r w:rsidRPr="00802FEE">
        <w:t xml:space="preserve">of evidence-based </w:t>
      </w:r>
      <w:r w:rsidRPr="00802FEE">
        <w:rPr>
          <w:rStyle w:val="Strong"/>
        </w:rPr>
        <w:t>non-opioid and non-pharmacological modalities</w:t>
      </w:r>
      <w:r w:rsidRPr="00802FEE">
        <w:t xml:space="preserve"> for </w:t>
      </w:r>
      <w:r w:rsidR="004D0BD7" w:rsidRPr="00802FEE">
        <w:t xml:space="preserve">acute and </w:t>
      </w:r>
      <w:r w:rsidRPr="00802FEE">
        <w:t>subacute pain whenever reasonable and clinically appropriate.</w:t>
      </w:r>
    </w:p>
    <w:bookmarkEnd w:id="5"/>
    <w:p w14:paraId="1447E1D4" w14:textId="77777777" w:rsidR="00AC31C9" w:rsidRPr="004A4521" w:rsidRDefault="00AC31C9" w:rsidP="00802FEE">
      <w:pPr>
        <w:pStyle w:val="Bullet"/>
      </w:pPr>
      <w:r w:rsidRPr="00802FEE">
        <w:t>The first time you</w:t>
      </w:r>
      <w:r w:rsidRPr="004A4521">
        <w:t xml:space="preserve"> prescribe opioids to a patient</w:t>
      </w:r>
      <w:r>
        <w:t xml:space="preserve"> or when they </w:t>
      </w:r>
      <w:r w:rsidRPr="00D4105E">
        <w:rPr>
          <w:u w:val="single"/>
        </w:rPr>
        <w:t>transition</w:t>
      </w:r>
      <w:r>
        <w:t xml:space="preserve"> from acute pain (0 to &lt; 6 weeks) to </w:t>
      </w:r>
      <w:r w:rsidRPr="00F611D4">
        <w:rPr>
          <w:u w:val="single"/>
        </w:rPr>
        <w:t>subacute</w:t>
      </w:r>
      <w:r>
        <w:t xml:space="preserve"> pain (6 to &lt; 12 weeks)</w:t>
      </w:r>
      <w:r w:rsidRPr="004A4521">
        <w:t>:</w:t>
      </w:r>
    </w:p>
    <w:p w14:paraId="24AF2D40" w14:textId="77777777" w:rsidR="00AC31C9" w:rsidRPr="00802FEE" w:rsidRDefault="00AC31C9" w:rsidP="00802FEE">
      <w:pPr>
        <w:pStyle w:val="Subbullet"/>
      </w:pPr>
      <w:r w:rsidRPr="004A4521">
        <w:t xml:space="preserve">Re-evaluate the </w:t>
      </w:r>
      <w:r w:rsidRPr="00802FEE">
        <w:rPr>
          <w:rStyle w:val="Strong"/>
        </w:rPr>
        <w:t>patient’s history and physical examination</w:t>
      </w:r>
      <w:r w:rsidRPr="00802FEE">
        <w:t>.</w:t>
      </w:r>
    </w:p>
    <w:p w14:paraId="6F67C2AB" w14:textId="17CF434C" w:rsidR="00AC31C9" w:rsidRPr="00802FEE" w:rsidRDefault="00AC31C9" w:rsidP="00802FEE">
      <w:pPr>
        <w:pStyle w:val="Subbullet"/>
      </w:pPr>
      <w:r w:rsidRPr="00802FEE">
        <w:t xml:space="preserve">Check the </w:t>
      </w:r>
      <w:r w:rsidR="00F40F2A" w:rsidRPr="00802FEE">
        <w:t xml:space="preserve">state </w:t>
      </w:r>
      <w:r w:rsidRPr="00802FEE">
        <w:t>prescription</w:t>
      </w:r>
      <w:r w:rsidR="00F40F2A" w:rsidRPr="00802FEE">
        <w:t xml:space="preserve"> drug</w:t>
      </w:r>
      <w:r w:rsidRPr="00802FEE">
        <w:t xml:space="preserve"> monitoring program</w:t>
      </w:r>
      <w:r w:rsidR="00802FEE">
        <w:t xml:space="preserve"> (</w:t>
      </w:r>
      <w:r w:rsidR="00802FEE" w:rsidRPr="00802FEE">
        <w:rPr>
          <w:rStyle w:val="Strong"/>
        </w:rPr>
        <w:t>PDMP</w:t>
      </w:r>
      <w:r w:rsidR="00802FEE">
        <w:t>)</w:t>
      </w:r>
      <w:r w:rsidRPr="00802FEE">
        <w:t xml:space="preserve"> to identify any medications received. </w:t>
      </w:r>
      <w:r w:rsidR="009C482C">
        <w:t>If concerns are discovered when checking the PDMP, these must be documented in the patient record.</w:t>
      </w:r>
    </w:p>
    <w:p w14:paraId="7AA412D4" w14:textId="77777777" w:rsidR="00AC31C9" w:rsidRPr="00802FEE" w:rsidRDefault="00AC31C9" w:rsidP="00802FEE">
      <w:pPr>
        <w:pStyle w:val="Subbullet"/>
      </w:pPr>
      <w:r w:rsidRPr="00802FEE">
        <w:t xml:space="preserve">Ensure that the patient has a </w:t>
      </w:r>
      <w:r w:rsidRPr="00802FEE">
        <w:rPr>
          <w:rStyle w:val="Strong"/>
        </w:rPr>
        <w:t>diagnosis</w:t>
      </w:r>
      <w:r w:rsidRPr="00802FEE">
        <w:t xml:space="preserve"> for their pain that will benefit from opioid medication. Document the diagnosis.</w:t>
      </w:r>
    </w:p>
    <w:p w14:paraId="58E8751A" w14:textId="6C28B156" w:rsidR="0092391A" w:rsidRPr="00802FEE" w:rsidRDefault="00AC31C9" w:rsidP="00802FEE">
      <w:pPr>
        <w:pStyle w:val="Subbullet"/>
      </w:pPr>
      <w:r w:rsidRPr="00802FEE">
        <w:t xml:space="preserve">Discuss </w:t>
      </w:r>
      <w:r w:rsidRPr="00802FEE">
        <w:rPr>
          <w:rStyle w:val="Strong"/>
        </w:rPr>
        <w:t>functional goals</w:t>
      </w:r>
      <w:r w:rsidRPr="00802FEE">
        <w:t xml:space="preserve"> for pain treatment. </w:t>
      </w:r>
    </w:p>
    <w:p w14:paraId="037340D6" w14:textId="7028207B" w:rsidR="00AC31C9" w:rsidRPr="00802FEE" w:rsidRDefault="00AC31C9" w:rsidP="00802FEE">
      <w:pPr>
        <w:pStyle w:val="Subbullet"/>
      </w:pPr>
      <w:r w:rsidRPr="00802FEE">
        <w:t xml:space="preserve">Document why the patient’s level of function or pain control </w:t>
      </w:r>
      <w:r w:rsidRPr="00802FEE">
        <w:rPr>
          <w:rStyle w:val="Strong"/>
        </w:rPr>
        <w:t>justifies continuation of opioids</w:t>
      </w:r>
      <w:r w:rsidRPr="00802FEE">
        <w:t>.</w:t>
      </w:r>
    </w:p>
    <w:p w14:paraId="778B01EB" w14:textId="6ADD1B77" w:rsidR="00AC31C9" w:rsidRPr="00802FEE" w:rsidRDefault="00F0384D" w:rsidP="00802FEE">
      <w:pPr>
        <w:pStyle w:val="Subbullet"/>
      </w:pPr>
      <w:r w:rsidRPr="00802FEE">
        <w:t xml:space="preserve">Provide patient with written notification and </w:t>
      </w:r>
      <w:r w:rsidRPr="00802FEE">
        <w:rPr>
          <w:rStyle w:val="Strong"/>
        </w:rPr>
        <w:t>e</w:t>
      </w:r>
      <w:r w:rsidR="00AC31C9" w:rsidRPr="00802FEE">
        <w:rPr>
          <w:rStyle w:val="Strong"/>
        </w:rPr>
        <w:t>ducate</w:t>
      </w:r>
      <w:r w:rsidR="00AC31C9" w:rsidRPr="00802FEE">
        <w:t xml:space="preserve"> the patient about the risks associated with the use of opioids (including opioid dependence), how to securely store opioids; and about the availability and location of disposal sites for unused opioid medications. Document this notification in the patient record.</w:t>
      </w:r>
    </w:p>
    <w:p w14:paraId="2AD58CB5" w14:textId="435E986E" w:rsidR="00AC31C9" w:rsidRPr="0049298C" w:rsidRDefault="00AC31C9" w:rsidP="00802FEE">
      <w:pPr>
        <w:pStyle w:val="Subbullet"/>
        <w:rPr>
          <w:color w:val="auto"/>
        </w:rPr>
      </w:pPr>
      <w:r w:rsidRPr="00802FEE">
        <w:t>When a patient transitions</w:t>
      </w:r>
      <w:r w:rsidRPr="0049298C">
        <w:rPr>
          <w:color w:val="auto"/>
        </w:rPr>
        <w:t xml:space="preserve"> to subacute pain management, document </w:t>
      </w:r>
      <w:r w:rsidR="00F40F2A">
        <w:rPr>
          <w:color w:val="auto"/>
        </w:rPr>
        <w:t>in the patient record that the patient is now receiving subacute pain management</w:t>
      </w:r>
      <w:r w:rsidRPr="0049298C">
        <w:rPr>
          <w:color w:val="auto"/>
        </w:rPr>
        <w:t xml:space="preserve">. </w:t>
      </w:r>
    </w:p>
    <w:p w14:paraId="5D83CACD" w14:textId="07FFCEBD" w:rsidR="00AC31C9" w:rsidRPr="00802FEE" w:rsidRDefault="00AC31C9" w:rsidP="00802FEE">
      <w:pPr>
        <w:pStyle w:val="Bullet"/>
      </w:pPr>
      <w:r w:rsidRPr="0049298C">
        <w:t>Prescribing 3 days o</w:t>
      </w:r>
      <w:r w:rsidR="00A4041C">
        <w:t>r</w:t>
      </w:r>
      <w:r w:rsidRPr="0049298C">
        <w:t xml:space="preserve"> less of opioids will often be </w:t>
      </w:r>
      <w:r>
        <w:t>enough</w:t>
      </w:r>
      <w:r w:rsidRPr="0049298C">
        <w:t xml:space="preserve"> for </w:t>
      </w:r>
      <w:r w:rsidRPr="00EC330D">
        <w:rPr>
          <w:u w:val="single"/>
        </w:rPr>
        <w:t>acute</w:t>
      </w:r>
      <w:r w:rsidRPr="0049298C">
        <w:t xml:space="preserve"> pain (0 to &lt; 6 weeks); </w:t>
      </w:r>
      <w:r w:rsidRPr="00802FEE">
        <w:rPr>
          <w:rStyle w:val="Strong"/>
        </w:rPr>
        <w:t>prescribe no greater than 7 days of opioids for acute pain. Do not prescribe methadone or extended-release opioids for acute pain</w:t>
      </w:r>
      <w:r w:rsidRPr="00802FEE">
        <w:t>.</w:t>
      </w:r>
    </w:p>
    <w:p w14:paraId="63D4E8F6" w14:textId="77777777" w:rsidR="00AC31C9" w:rsidRPr="00802FEE" w:rsidRDefault="00AC31C9" w:rsidP="00802FEE">
      <w:pPr>
        <w:pStyle w:val="Bullet"/>
      </w:pPr>
      <w:r w:rsidRPr="00802FEE">
        <w:t xml:space="preserve">Prescribe </w:t>
      </w:r>
      <w:r w:rsidRPr="00802FEE">
        <w:rPr>
          <w:rStyle w:val="Strong"/>
        </w:rPr>
        <w:t>no more than 14 days of opioids for subacute pain</w:t>
      </w:r>
      <w:r w:rsidRPr="00802FEE">
        <w:t xml:space="preserve"> (6 to &lt; 12 weeks). </w:t>
      </w:r>
    </w:p>
    <w:p w14:paraId="08704A7F" w14:textId="5ED47D54" w:rsidR="00AC31C9" w:rsidRPr="00802FEE" w:rsidRDefault="00AC31C9" w:rsidP="00802FEE">
      <w:pPr>
        <w:pStyle w:val="Bullet"/>
      </w:pPr>
      <w:bookmarkStart w:id="6" w:name="_Hlk2003022"/>
      <w:r w:rsidRPr="00802FEE">
        <w:rPr>
          <w:rStyle w:val="Strong"/>
        </w:rPr>
        <w:t>Assess for risk of overdose</w:t>
      </w:r>
      <w:r w:rsidRPr="00802FEE">
        <w:t>.</w:t>
      </w:r>
      <w:r w:rsidR="003D17D5" w:rsidRPr="00802FEE">
        <w:t xml:space="preserve"> </w:t>
      </w:r>
      <w:r w:rsidR="003F3077" w:rsidRPr="00802FEE">
        <w:t xml:space="preserve">Risk factors for overdose include history of overdose, substance use disorder or abuse, sleep apnea, chronic lung disease, and use of any concurrent </w:t>
      </w:r>
      <w:r w:rsidR="002C0CB3">
        <w:t>sedatives</w:t>
      </w:r>
      <w:r w:rsidR="003F3077" w:rsidRPr="00802FEE">
        <w:t xml:space="preserve">. </w:t>
      </w:r>
      <w:r w:rsidR="003D17D5" w:rsidRPr="00802FEE">
        <w:t xml:space="preserve">See the </w:t>
      </w:r>
      <w:hyperlink w:anchor="_How_to_measure" w:history="1">
        <w:r w:rsidR="003D17D5" w:rsidRPr="00530E9F">
          <w:rPr>
            <w:rStyle w:val="Hyperlink"/>
          </w:rPr>
          <w:t>assessing risk section</w:t>
        </w:r>
      </w:hyperlink>
      <w:r w:rsidR="003D17D5" w:rsidRPr="00802FEE">
        <w:t xml:space="preserve"> for how to assess.</w:t>
      </w:r>
      <w:r w:rsidRPr="00802FEE">
        <w:t xml:space="preserve"> </w:t>
      </w:r>
    </w:p>
    <w:p w14:paraId="3A439291" w14:textId="4E6C7A90" w:rsidR="00802FEE" w:rsidRPr="00802FEE" w:rsidRDefault="00AC31C9" w:rsidP="00802FEE">
      <w:pPr>
        <w:pStyle w:val="Bullet"/>
      </w:pPr>
      <w:r w:rsidRPr="00802FEE">
        <w:rPr>
          <w:rStyle w:val="Strong"/>
        </w:rPr>
        <w:t xml:space="preserve">Assess for </w:t>
      </w:r>
      <w:hyperlink w:anchor="_Aberrant_Behaviors" w:history="1">
        <w:r w:rsidRPr="00EF7BB2">
          <w:rPr>
            <w:rStyle w:val="Hyperlink"/>
          </w:rPr>
          <w:t>aberrant behaviors</w:t>
        </w:r>
      </w:hyperlink>
      <w:r w:rsidRPr="00802FEE">
        <w:rPr>
          <w:rStyle w:val="Strong"/>
        </w:rPr>
        <w:t xml:space="preserve"> and adverse events</w:t>
      </w:r>
      <w:r w:rsidRPr="00802FEE">
        <w:t xml:space="preserve"> (e.g., lost medications). </w:t>
      </w:r>
    </w:p>
    <w:p w14:paraId="40E4A936" w14:textId="3DF85320" w:rsidR="00F0384D" w:rsidRPr="00802FEE" w:rsidRDefault="00AC31C9" w:rsidP="00802FEE">
      <w:pPr>
        <w:pStyle w:val="Bullet"/>
      </w:pPr>
      <w:r w:rsidRPr="00802FEE">
        <w:t xml:space="preserve">If you identify a patient </w:t>
      </w:r>
      <w:r w:rsidR="009B115D" w:rsidRPr="00802FEE">
        <w:t xml:space="preserve">with </w:t>
      </w:r>
      <w:r w:rsidRPr="00802FEE">
        <w:rPr>
          <w:rStyle w:val="Strong"/>
        </w:rPr>
        <w:t>opioid use disorder</w:t>
      </w:r>
      <w:r w:rsidRPr="00802FEE">
        <w:t xml:space="preserve">, discuss treatment with buprenorphine or a referral to an opioid treatment program for methadone. </w:t>
      </w:r>
      <w:r w:rsidR="00F0384D" w:rsidRPr="00802FEE">
        <w:t xml:space="preserve">Also provide a referral </w:t>
      </w:r>
      <w:r w:rsidR="00A4041C">
        <w:t xml:space="preserve">to </w:t>
      </w:r>
      <w:r w:rsidR="00F0384D" w:rsidRPr="00802FEE">
        <w:t>behavioral health services, if available.</w:t>
      </w:r>
    </w:p>
    <w:p w14:paraId="65C0FE28" w14:textId="0F304B90" w:rsidR="00AC31C9" w:rsidRPr="00802FEE" w:rsidRDefault="00AC31C9" w:rsidP="00802FEE">
      <w:pPr>
        <w:pStyle w:val="Bullet"/>
      </w:pPr>
      <w:bookmarkStart w:id="7" w:name="_Hlk2003034"/>
      <w:bookmarkEnd w:id="6"/>
      <w:r w:rsidRPr="00802FEE">
        <w:t xml:space="preserve">If the patient’s </w:t>
      </w:r>
      <w:r w:rsidRPr="00802FEE">
        <w:rPr>
          <w:rStyle w:val="Strong"/>
        </w:rPr>
        <w:t>function or pain is worsening</w:t>
      </w:r>
      <w:r w:rsidRPr="00802FEE">
        <w:t>, do a urine drug test and check for</w:t>
      </w:r>
      <w:r w:rsidR="00C0326D" w:rsidRPr="00802FEE">
        <w:t xml:space="preserve"> </w:t>
      </w:r>
      <w:hyperlink w:anchor="_Substance_use_disorder" w:history="1">
        <w:r w:rsidR="002334A9" w:rsidRPr="00EF7BB2">
          <w:rPr>
            <w:rStyle w:val="Hyperlink"/>
          </w:rPr>
          <w:t xml:space="preserve">medical and </w:t>
        </w:r>
        <w:r w:rsidR="00C0326D" w:rsidRPr="00EF7BB2">
          <w:rPr>
            <w:rStyle w:val="Hyperlink"/>
          </w:rPr>
          <w:t>behavioral health co-morbidities</w:t>
        </w:r>
      </w:hyperlink>
      <w:r w:rsidR="00C0326D" w:rsidRPr="00802FEE">
        <w:t>, such as PTSD</w:t>
      </w:r>
      <w:r w:rsidR="002334A9" w:rsidRPr="00802FEE">
        <w:t>, depression,</w:t>
      </w:r>
      <w:r w:rsidR="00154798" w:rsidRPr="00802FEE">
        <w:t xml:space="preserve"> and</w:t>
      </w:r>
      <w:r w:rsidR="002334A9" w:rsidRPr="00802FEE">
        <w:t xml:space="preserve"> anxiety</w:t>
      </w:r>
      <w:r w:rsidRPr="00802FEE">
        <w:t>.</w:t>
      </w:r>
      <w:r w:rsidR="00154798" w:rsidRPr="00802FEE">
        <w:t xml:space="preserve"> See the </w:t>
      </w:r>
      <w:hyperlink w:anchor="_How_to_measure" w:history="1">
        <w:r w:rsidR="00A4041C" w:rsidRPr="00A4041C">
          <w:rPr>
            <w:rStyle w:val="Hyperlink"/>
          </w:rPr>
          <w:t>assessing risk section</w:t>
        </w:r>
      </w:hyperlink>
      <w:r w:rsidR="00154798" w:rsidRPr="00802FEE">
        <w:t xml:space="preserve"> for how to assess.</w:t>
      </w:r>
    </w:p>
    <w:bookmarkEnd w:id="7"/>
    <w:p w14:paraId="37E33633" w14:textId="77777777" w:rsidR="00AC31C9" w:rsidRDefault="00AC31C9" w:rsidP="00802FEE">
      <w:pPr>
        <w:pStyle w:val="Bullet"/>
      </w:pPr>
      <w:r w:rsidRPr="00802FEE">
        <w:t>At every</w:t>
      </w:r>
      <w:r w:rsidRPr="001C0B5D">
        <w:rPr>
          <w:u w:val="single"/>
        </w:rPr>
        <w:t xml:space="preserve"> change</w:t>
      </w:r>
      <w:r>
        <w:t xml:space="preserve"> in the opioid prescription:</w:t>
      </w:r>
    </w:p>
    <w:p w14:paraId="22A30B0F" w14:textId="1A040BE9" w:rsidR="00AC31C9" w:rsidRPr="00802FEE" w:rsidRDefault="00ED04EF" w:rsidP="00802FEE">
      <w:pPr>
        <w:pStyle w:val="Subbullet"/>
      </w:pPr>
      <w:hyperlink r:id="rId8" w:history="1">
        <w:r w:rsidR="009B115D" w:rsidRPr="0029317E">
          <w:rPr>
            <w:rStyle w:val="Hyperlink"/>
          </w:rPr>
          <w:t>Calculate</w:t>
        </w:r>
      </w:hyperlink>
      <w:r w:rsidR="009B115D" w:rsidRPr="004A4521">
        <w:t xml:space="preserve"> </w:t>
      </w:r>
      <w:r w:rsidR="00AC31C9" w:rsidRPr="004A4521">
        <w:t xml:space="preserve">morphine </w:t>
      </w:r>
      <w:r w:rsidR="00AC31C9" w:rsidRPr="00802FEE">
        <w:t>equivalent dose (</w:t>
      </w:r>
      <w:r w:rsidR="00AC31C9" w:rsidRPr="00802FEE">
        <w:rPr>
          <w:rStyle w:val="Strong"/>
        </w:rPr>
        <w:t>MED</w:t>
      </w:r>
      <w:r w:rsidR="00AC31C9" w:rsidRPr="00802FEE">
        <w:t>).</w:t>
      </w:r>
    </w:p>
    <w:p w14:paraId="63EC11B1" w14:textId="1B8837CB" w:rsidR="00AC31C9" w:rsidRPr="00802FEE" w:rsidRDefault="00AC31C9" w:rsidP="00802FEE">
      <w:pPr>
        <w:pStyle w:val="Subbullet"/>
        <w:rPr>
          <w:b/>
        </w:rPr>
      </w:pPr>
      <w:r w:rsidRPr="00802FEE">
        <w:rPr>
          <w:rStyle w:val="Strong"/>
        </w:rPr>
        <w:t xml:space="preserve">Only continue an increased opioid dose if there is clinically meaningful improvement in pain and </w:t>
      </w:r>
      <w:hyperlink r:id="rId9" w:history="1">
        <w:r w:rsidRPr="00802FEE">
          <w:rPr>
            <w:rStyle w:val="Strong"/>
          </w:rPr>
          <w:t>function</w:t>
        </w:r>
      </w:hyperlink>
      <w:r w:rsidRPr="00802FEE">
        <w:rPr>
          <w:rStyle w:val="Strong"/>
        </w:rPr>
        <w:t xml:space="preserve"> that outweighs risks to patient safety</w:t>
      </w:r>
      <w:r w:rsidRPr="00802FEE">
        <w:rPr>
          <w:b/>
        </w:rPr>
        <w:t xml:space="preserve">. </w:t>
      </w:r>
    </w:p>
    <w:p w14:paraId="05BA96CE" w14:textId="1BE720B1" w:rsidR="009B115D" w:rsidRPr="00802FEE" w:rsidRDefault="00AC31C9" w:rsidP="00802FEE">
      <w:pPr>
        <w:pStyle w:val="Bullet"/>
      </w:pPr>
      <w:r w:rsidRPr="004A4521">
        <w:t>Avo</w:t>
      </w:r>
      <w:r>
        <w:t xml:space="preserve">id increasing dosage to ≥50 MED </w:t>
      </w:r>
      <w:r w:rsidRPr="00802FEE">
        <w:t>per day. If you do increase to ≥50 MED, document justification for this decision</w:t>
      </w:r>
      <w:r w:rsidR="0029317E" w:rsidRPr="00802FEE">
        <w:t>.</w:t>
      </w:r>
      <w:r w:rsidR="0029317E" w:rsidRPr="00802FEE" w:rsidDel="0029317E">
        <w:t xml:space="preserve"> </w:t>
      </w:r>
    </w:p>
    <w:p w14:paraId="671889D4" w14:textId="09EC1358" w:rsidR="003D17D5" w:rsidRPr="00802FEE" w:rsidRDefault="0029317E" w:rsidP="00802FEE">
      <w:pPr>
        <w:pStyle w:val="Bullet"/>
      </w:pPr>
      <w:r w:rsidRPr="00802FEE">
        <w:t xml:space="preserve">Prescribe </w:t>
      </w:r>
      <w:r w:rsidRPr="00802FEE">
        <w:rPr>
          <w:rStyle w:val="Strong"/>
        </w:rPr>
        <w:t>naloxone</w:t>
      </w:r>
      <w:r w:rsidRPr="00802FEE">
        <w:t xml:space="preserve"> “rescue” (nasal or injectable) if the patient is prescribed ≥ 50 MED daily, is at risk for overdose, on </w:t>
      </w:r>
      <w:hyperlink r:id="rId10" w:history="1">
        <w:r w:rsidRPr="00802FEE">
          <w:rPr>
            <w:rStyle w:val="Hyperlink"/>
            <w:color w:val="000000" w:themeColor="text1"/>
            <w:u w:val="none"/>
          </w:rPr>
          <w:t>sedative medications</w:t>
        </w:r>
      </w:hyperlink>
      <w:r w:rsidRPr="00802FEE">
        <w:t xml:space="preserve">, </w:t>
      </w:r>
      <w:r w:rsidR="00896296">
        <w:t xml:space="preserve">has opioid use disorder, </w:t>
      </w:r>
      <w:r w:rsidRPr="00802FEE">
        <w:t>or is at risk of respiratory suppression due to sleep apnea or chronic lung disease.</w:t>
      </w:r>
      <w:r w:rsidR="003D17D5" w:rsidRPr="00802FEE">
        <w:t xml:space="preserve"> See the </w:t>
      </w:r>
      <w:hyperlink w:anchor="_How__to" w:history="1">
        <w:r w:rsidR="003D17D5" w:rsidRPr="00EF7BB2">
          <w:rPr>
            <w:rStyle w:val="Hyperlink"/>
          </w:rPr>
          <w:t>assessing risk section</w:t>
        </w:r>
      </w:hyperlink>
      <w:r w:rsidR="003D17D5" w:rsidRPr="00802FEE">
        <w:t xml:space="preserve"> for how to assess. </w:t>
      </w:r>
    </w:p>
    <w:p w14:paraId="4123DA99" w14:textId="77777777" w:rsidR="00AC31C9" w:rsidRPr="00802FEE" w:rsidRDefault="00AC31C9" w:rsidP="00802FEE">
      <w:pPr>
        <w:pStyle w:val="Bullet"/>
      </w:pPr>
      <w:bookmarkStart w:id="8" w:name="_Hlk2002996"/>
      <w:r w:rsidRPr="00802FEE">
        <w:t xml:space="preserve">Document the </w:t>
      </w:r>
      <w:r w:rsidRPr="00802FEE">
        <w:rPr>
          <w:rStyle w:val="Strong"/>
        </w:rPr>
        <w:t>treatment plan</w:t>
      </w:r>
      <w:r w:rsidRPr="00802FEE">
        <w:t>, including non-opioid and non-pharmacological modalities.</w:t>
      </w:r>
    </w:p>
    <w:bookmarkEnd w:id="8"/>
    <w:p w14:paraId="11813982" w14:textId="7C234DA4" w:rsidR="00A23A2E" w:rsidRPr="00802FEE" w:rsidRDefault="00AC31C9" w:rsidP="00802FEE">
      <w:pPr>
        <w:pStyle w:val="Bullet"/>
      </w:pPr>
      <w:r w:rsidRPr="00802FEE">
        <w:t xml:space="preserve">If the patient </w:t>
      </w:r>
      <w:r w:rsidR="00B453A5">
        <w:t>is prescribed opioid medication at an</w:t>
      </w:r>
      <w:r w:rsidR="009B115D" w:rsidRPr="00802FEE">
        <w:t xml:space="preserve"> </w:t>
      </w:r>
      <w:r w:rsidRPr="00802FEE">
        <w:t xml:space="preserve">MED ≥ 90, </w:t>
      </w:r>
      <w:r w:rsidR="00802FEE">
        <w:t>consider</w:t>
      </w:r>
      <w:r w:rsidRPr="00802FEE">
        <w:t xml:space="preserve"> a </w:t>
      </w:r>
      <w:r w:rsidRPr="00802FEE">
        <w:rPr>
          <w:rStyle w:val="Strong"/>
        </w:rPr>
        <w:t>pain specialist consultation</w:t>
      </w:r>
      <w:r w:rsidR="00A23A2E" w:rsidRPr="00802FEE">
        <w:t xml:space="preserve">. A pain specialist consultation is required at a dose of ≥ 120 MED/day unless </w:t>
      </w:r>
      <w:r w:rsidR="00B453A5">
        <w:t xml:space="preserve">the patient is </w:t>
      </w:r>
      <w:r w:rsidR="00A23A2E" w:rsidRPr="00802FEE">
        <w:t xml:space="preserve">following a tapering schedule, treatment is for short-term acute pain, pain and function </w:t>
      </w:r>
      <w:r w:rsidR="00B453A5">
        <w:t xml:space="preserve">are </w:t>
      </w:r>
      <w:r w:rsidR="00A23A2E" w:rsidRPr="00802FEE">
        <w:t>stable with a non-escalating dose</w:t>
      </w:r>
      <w:r w:rsidR="00B453A5">
        <w:t xml:space="preserve"> of opioids</w:t>
      </w:r>
      <w:r w:rsidR="00A23A2E" w:rsidRPr="00802FEE">
        <w:t xml:space="preserve">, or reasonable attempts to obtain consultation </w:t>
      </w:r>
      <w:r w:rsidR="00B453A5">
        <w:t xml:space="preserve">have </w:t>
      </w:r>
      <w:r w:rsidR="00A23A2E" w:rsidRPr="00802FEE">
        <w:t xml:space="preserve">failed. </w:t>
      </w:r>
    </w:p>
    <w:p w14:paraId="7CC7ADAB" w14:textId="6EFED4B0" w:rsidR="007E3F93" w:rsidRPr="00802FEE" w:rsidRDefault="007E3F93" w:rsidP="007E3F93">
      <w:pPr>
        <w:pStyle w:val="Bullet"/>
        <w:contextualSpacing/>
      </w:pPr>
      <w:r>
        <w:rPr>
          <w:rStyle w:val="Strong"/>
        </w:rPr>
        <w:t>T</w:t>
      </w:r>
      <w:r w:rsidRPr="00802FEE">
        <w:rPr>
          <w:rStyle w:val="Strong"/>
        </w:rPr>
        <w:t>apering</w:t>
      </w:r>
      <w:r w:rsidRPr="00802FEE">
        <w:t xml:space="preserve"> at 10% per week is reasonable for patients in the acute and subacute phase.</w:t>
      </w:r>
    </w:p>
    <w:p w14:paraId="183033A4" w14:textId="77777777" w:rsidR="00AC31C9" w:rsidRDefault="00AC31C9" w:rsidP="00802FEE">
      <w:pPr>
        <w:pStyle w:val="Bullet"/>
      </w:pPr>
      <w:r w:rsidRPr="00802FEE">
        <w:t>Clinical documentation is needed</w:t>
      </w:r>
      <w:r>
        <w:t xml:space="preserve"> for any deviation from these policies.</w:t>
      </w:r>
    </w:p>
    <w:p w14:paraId="0C39CA16" w14:textId="77777777" w:rsidR="00AC31C9" w:rsidRDefault="00AC31C9" w:rsidP="00AC31C9"/>
    <w:p w14:paraId="149F9573" w14:textId="77777777" w:rsidR="00AC31C9" w:rsidRDefault="00AC31C9">
      <w:pPr>
        <w:rPr>
          <w:rFonts w:ascii="Corbel" w:eastAsiaTheme="majorEastAsia" w:hAnsi="Corbel" w:cstheme="majorBidi"/>
          <w:bCs/>
          <w:color w:val="000000" w:themeColor="text1"/>
          <w:sz w:val="32"/>
          <w:szCs w:val="52"/>
        </w:rPr>
      </w:pPr>
      <w:r>
        <w:br w:type="page"/>
      </w:r>
    </w:p>
    <w:p w14:paraId="004A86FB" w14:textId="52E2B437" w:rsidR="00BC1297" w:rsidRDefault="00BC1297" w:rsidP="00CC2C3B">
      <w:pPr>
        <w:pStyle w:val="Heading2"/>
        <w:shd w:val="clear" w:color="auto" w:fill="FFF2CC" w:themeFill="accent4" w:themeFillTint="33"/>
      </w:pPr>
      <w:bookmarkStart w:id="9" w:name="_Section_2"/>
      <w:bookmarkEnd w:id="9"/>
      <w:r>
        <w:t>Section 2</w:t>
      </w:r>
    </w:p>
    <w:p w14:paraId="722ACEE2" w14:textId="0ADDF69C" w:rsidR="00B7145E" w:rsidRDefault="00BB2FB6" w:rsidP="00CC2C3B">
      <w:pPr>
        <w:pStyle w:val="Subtitle"/>
        <w:shd w:val="clear" w:color="auto" w:fill="FFF2CC" w:themeFill="accent4" w:themeFillTint="33"/>
      </w:pPr>
      <w:r>
        <w:t>Patients transitioning</w:t>
      </w:r>
      <w:r w:rsidR="00835342">
        <w:t xml:space="preserve"> from subacute</w:t>
      </w:r>
      <w:r>
        <w:t xml:space="preserve"> to chronic pain</w:t>
      </w:r>
      <w:bookmarkEnd w:id="2"/>
      <w:bookmarkEnd w:id="3"/>
    </w:p>
    <w:p w14:paraId="41139BAC" w14:textId="4DA88091" w:rsidR="004F32B0" w:rsidRDefault="00231834" w:rsidP="004F32B0">
      <w:pPr>
        <w:pStyle w:val="BodyText"/>
      </w:pPr>
      <w:r>
        <w:t xml:space="preserve">This section discusses </w:t>
      </w:r>
      <w:r w:rsidR="00EC466B">
        <w:t xml:space="preserve">guideline-consistent </w:t>
      </w:r>
      <w:r>
        <w:t xml:space="preserve">care processes for the first pain visit after a </w:t>
      </w:r>
      <w:r w:rsidR="00990818">
        <w:t xml:space="preserve">patient enters their </w:t>
      </w:r>
      <w:r w:rsidR="004F32B0">
        <w:t>1</w:t>
      </w:r>
      <w:r w:rsidR="00EF0336">
        <w:t>3</w:t>
      </w:r>
      <w:r w:rsidR="004F32B0" w:rsidRPr="004F32B0">
        <w:rPr>
          <w:vertAlign w:val="superscript"/>
        </w:rPr>
        <w:t>th</w:t>
      </w:r>
      <w:r w:rsidR="004F32B0">
        <w:t xml:space="preserve"> week of</w:t>
      </w:r>
      <w:r w:rsidR="00990818">
        <w:t xml:space="preserve"> treatment for</w:t>
      </w:r>
      <w:r w:rsidR="004F32B0">
        <w:t xml:space="preserve"> pain</w:t>
      </w:r>
      <w:r w:rsidR="00990818">
        <w:t xml:space="preserve"> that includes opioid therapy</w:t>
      </w:r>
      <w:r>
        <w:t>. C</w:t>
      </w:r>
      <w:r w:rsidR="00990818">
        <w:t xml:space="preserve">onduct the following assessments </w:t>
      </w:r>
      <w:r w:rsidR="00AF0903">
        <w:t xml:space="preserve">ideally at </w:t>
      </w:r>
      <w:r w:rsidR="00990818">
        <w:t>the first chronic pain visit</w:t>
      </w:r>
      <w:r w:rsidR="00CB537C">
        <w:t xml:space="preserve">. </w:t>
      </w:r>
    </w:p>
    <w:tbl>
      <w:tblPr>
        <w:tblStyle w:val="GridTable4-Accent11"/>
        <w:tblW w:w="10903" w:type="dxa"/>
        <w:tblLook w:val="04A0" w:firstRow="1" w:lastRow="0" w:firstColumn="1" w:lastColumn="0" w:noHBand="0" w:noVBand="1"/>
      </w:tblPr>
      <w:tblGrid>
        <w:gridCol w:w="5125"/>
        <w:gridCol w:w="5778"/>
      </w:tblGrid>
      <w:tr w:rsidR="004F32B0" w:rsidRPr="00BD7B9D" w14:paraId="2AC4BDB8" w14:textId="77777777" w:rsidTr="00B546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747F3781" w14:textId="77777777" w:rsidR="004F32B0" w:rsidRPr="00BD7B9D" w:rsidRDefault="004F32B0" w:rsidP="004F32B0">
            <w:pPr>
              <w:pStyle w:val="Tableheader"/>
              <w:rPr>
                <w:sz w:val="18"/>
                <w:szCs w:val="18"/>
              </w:rPr>
            </w:pPr>
            <w:bookmarkStart w:id="10" w:name="_Hlk8655731"/>
            <w:r w:rsidRPr="00BD7B9D">
              <w:rPr>
                <w:sz w:val="18"/>
                <w:szCs w:val="18"/>
              </w:rPr>
              <w:t>What you are assessing</w:t>
            </w:r>
          </w:p>
        </w:tc>
        <w:tc>
          <w:tcPr>
            <w:tcW w:w="5778" w:type="dxa"/>
          </w:tcPr>
          <w:p w14:paraId="4F81346B" w14:textId="77777777" w:rsidR="004F32B0" w:rsidRPr="00BD7B9D" w:rsidRDefault="004F32B0" w:rsidP="004F32B0">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BD7B9D">
              <w:rPr>
                <w:sz w:val="18"/>
                <w:szCs w:val="18"/>
              </w:rPr>
              <w:t>How to assess</w:t>
            </w:r>
          </w:p>
        </w:tc>
      </w:tr>
      <w:tr w:rsidR="004F32B0" w:rsidRPr="00BD7B9D" w14:paraId="4D523D7C"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16F67163" w14:textId="77777777" w:rsidR="004F32B0" w:rsidRPr="00BD7B9D" w:rsidRDefault="009D7A40" w:rsidP="009D7A40">
            <w:pPr>
              <w:pStyle w:val="TableParagraph"/>
              <w:rPr>
                <w:b w:val="0"/>
                <w:bCs w:val="0"/>
                <w:szCs w:val="18"/>
              </w:rPr>
            </w:pPr>
            <w:r w:rsidRPr="00BD7B9D">
              <w:rPr>
                <w:szCs w:val="18"/>
              </w:rPr>
              <w:t>Specific diagnosis for pain</w:t>
            </w:r>
          </w:p>
          <w:p w14:paraId="5D48CF01" w14:textId="22685043" w:rsidR="00BD7B9D" w:rsidRPr="00BD7B9D" w:rsidRDefault="00BD7B9D" w:rsidP="009D7A40">
            <w:pPr>
              <w:pStyle w:val="TableParagraph"/>
              <w:rPr>
                <w:b w:val="0"/>
                <w:szCs w:val="18"/>
              </w:rPr>
            </w:pPr>
            <w:r w:rsidRPr="00BD7B9D">
              <w:rPr>
                <w:b w:val="0"/>
                <w:szCs w:val="18"/>
              </w:rPr>
              <w:t>Check that the patient has a diagnosis for their pain that will benefit from opioid medication.</w:t>
            </w:r>
          </w:p>
        </w:tc>
        <w:tc>
          <w:tcPr>
            <w:tcW w:w="5778" w:type="dxa"/>
          </w:tcPr>
          <w:p w14:paraId="4D3A36B9" w14:textId="77777777" w:rsidR="004F32B0" w:rsidRPr="00BD7B9D" w:rsidRDefault="004F32B0" w:rsidP="004F32B0">
            <w:pPr>
              <w:pStyle w:val="TableParagraph"/>
              <w:cnfStyle w:val="000000100000" w:firstRow="0" w:lastRow="0" w:firstColumn="0" w:lastColumn="0" w:oddVBand="0" w:evenVBand="0" w:oddHBand="1" w:evenHBand="0" w:firstRowFirstColumn="0" w:firstRowLastColumn="0" w:lastRowFirstColumn="0" w:lastRowLastColumn="0"/>
              <w:rPr>
                <w:szCs w:val="18"/>
              </w:rPr>
            </w:pPr>
            <w:r w:rsidRPr="00BD7B9D">
              <w:rPr>
                <w:szCs w:val="18"/>
              </w:rPr>
              <w:t>Based on history, physical examination, and testing (e.g., labs, imaging, as indicated)</w:t>
            </w:r>
          </w:p>
        </w:tc>
      </w:tr>
      <w:tr w:rsidR="00D93A14" w:rsidRPr="00BD7B9D" w14:paraId="2F79927F"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670D9590" w14:textId="6D927994" w:rsidR="00D93A14" w:rsidRPr="00BD7B9D" w:rsidRDefault="00CC7E67" w:rsidP="00D93A14">
            <w:pPr>
              <w:pStyle w:val="TableParagraph"/>
              <w:rPr>
                <w:szCs w:val="18"/>
              </w:rPr>
            </w:pPr>
            <w:r w:rsidRPr="00BD7B9D">
              <w:rPr>
                <w:szCs w:val="18"/>
              </w:rPr>
              <w:t>Progress meeting f</w:t>
            </w:r>
            <w:r w:rsidR="00D93A14" w:rsidRPr="00BD7B9D">
              <w:rPr>
                <w:szCs w:val="18"/>
              </w:rPr>
              <w:t xml:space="preserve">unctional goals </w:t>
            </w:r>
          </w:p>
        </w:tc>
        <w:tc>
          <w:tcPr>
            <w:tcW w:w="5778" w:type="dxa"/>
          </w:tcPr>
          <w:p w14:paraId="0F2F9526" w14:textId="2AF28D7D" w:rsidR="00D93A14" w:rsidRPr="00BD7B9D" w:rsidRDefault="00ED04EF" w:rsidP="00FD147D">
            <w:pPr>
              <w:pStyle w:val="TableParagraph"/>
              <w:cnfStyle w:val="000000000000" w:firstRow="0" w:lastRow="0" w:firstColumn="0" w:lastColumn="0" w:oddVBand="0" w:evenVBand="0" w:oddHBand="0" w:evenHBand="0" w:firstRowFirstColumn="0" w:firstRowLastColumn="0" w:lastRowFirstColumn="0" w:lastRowLastColumn="0"/>
              <w:rPr>
                <w:szCs w:val="18"/>
              </w:rPr>
            </w:pPr>
            <w:hyperlink r:id="rId11" w:history="1">
              <w:r w:rsidR="00CC7E67" w:rsidRPr="00BD7B9D">
                <w:rPr>
                  <w:rStyle w:val="Hyperlink"/>
                  <w:szCs w:val="18"/>
                </w:rPr>
                <w:t>PEG</w:t>
              </w:r>
            </w:hyperlink>
            <w:r w:rsidR="00CC7E67" w:rsidRPr="00BD7B9D">
              <w:rPr>
                <w:szCs w:val="18"/>
              </w:rPr>
              <w:t xml:space="preserve">, documented </w:t>
            </w:r>
            <w:hyperlink r:id="rId12" w:history="1">
              <w:r w:rsidR="00CC7E67" w:rsidRPr="00BD7B9D">
                <w:rPr>
                  <w:rStyle w:val="Hyperlink"/>
                  <w:szCs w:val="18"/>
                </w:rPr>
                <w:t>patient-set goals</w:t>
              </w:r>
            </w:hyperlink>
            <w:r w:rsidR="00CC7E67" w:rsidRPr="00BD7B9D">
              <w:rPr>
                <w:szCs w:val="18"/>
              </w:rPr>
              <w:t xml:space="preserve"> (e.g., walk to the park), reports by family (though not always reliable, can be useful), evidence of performing job or life role function</w:t>
            </w:r>
          </w:p>
        </w:tc>
      </w:tr>
      <w:tr w:rsidR="004F32B0" w:rsidRPr="00BD7B9D" w14:paraId="5B642C0E"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65F5D4BF" w14:textId="59740E2A" w:rsidR="004F32B0" w:rsidRPr="00BD7B9D" w:rsidRDefault="004F32B0" w:rsidP="004F32B0">
            <w:pPr>
              <w:pStyle w:val="TableParagraph"/>
              <w:rPr>
                <w:szCs w:val="18"/>
              </w:rPr>
            </w:pPr>
            <w:r w:rsidRPr="00BD7B9D">
              <w:rPr>
                <w:szCs w:val="18"/>
              </w:rPr>
              <w:t>Potential benefits of non</w:t>
            </w:r>
            <w:r w:rsidR="00765A09" w:rsidRPr="00BD7B9D">
              <w:rPr>
                <w:szCs w:val="18"/>
              </w:rPr>
              <w:t>-</w:t>
            </w:r>
            <w:r w:rsidRPr="00BD7B9D">
              <w:rPr>
                <w:szCs w:val="18"/>
              </w:rPr>
              <w:t>opioid therap</w:t>
            </w:r>
            <w:r w:rsidR="00EF0336" w:rsidRPr="00BD7B9D">
              <w:rPr>
                <w:szCs w:val="18"/>
              </w:rPr>
              <w:t>ies</w:t>
            </w:r>
          </w:p>
        </w:tc>
        <w:tc>
          <w:tcPr>
            <w:tcW w:w="5778" w:type="dxa"/>
          </w:tcPr>
          <w:p w14:paraId="22EF8F96" w14:textId="563F0279" w:rsidR="004F32B0" w:rsidRPr="00BD7B9D" w:rsidRDefault="004F32B0" w:rsidP="00FD147D">
            <w:pPr>
              <w:pStyle w:val="TableParagraph"/>
              <w:cnfStyle w:val="000000100000" w:firstRow="0" w:lastRow="0" w:firstColumn="0" w:lastColumn="0" w:oddVBand="0" w:evenVBand="0" w:oddHBand="1" w:evenHBand="0" w:firstRowFirstColumn="0" w:firstRowLastColumn="0" w:lastRowFirstColumn="0" w:lastRowLastColumn="0"/>
              <w:rPr>
                <w:szCs w:val="18"/>
              </w:rPr>
            </w:pPr>
            <w:r w:rsidRPr="00BD7B9D">
              <w:rPr>
                <w:szCs w:val="18"/>
              </w:rPr>
              <w:t>Diagnosis, history, patient’s perspective, evidence (See</w:t>
            </w:r>
            <w:r w:rsidR="00FD147D" w:rsidRPr="00BD7B9D">
              <w:rPr>
                <w:szCs w:val="18"/>
              </w:rPr>
              <w:t xml:space="preserve"> </w:t>
            </w:r>
            <w:hyperlink r:id="rId13" w:history="1">
              <w:r w:rsidR="00FD147D" w:rsidRPr="00BD7B9D">
                <w:rPr>
                  <w:rStyle w:val="Hyperlink"/>
                  <w:szCs w:val="18"/>
                </w:rPr>
                <w:t>integrative medicine table</w:t>
              </w:r>
            </w:hyperlink>
            <w:r w:rsidRPr="00BD7B9D">
              <w:rPr>
                <w:szCs w:val="18"/>
              </w:rPr>
              <w:t xml:space="preserve"> and </w:t>
            </w:r>
            <w:hyperlink r:id="rId14" w:history="1">
              <w:r w:rsidR="00EF0336" w:rsidRPr="00BD7B9D">
                <w:rPr>
                  <w:rStyle w:val="Hyperlink"/>
                  <w:szCs w:val="18"/>
                </w:rPr>
                <w:t>"Nonopioid Treatments for Chronic Pain”</w:t>
              </w:r>
            </w:hyperlink>
            <w:r w:rsidRPr="00BD7B9D">
              <w:rPr>
                <w:rStyle w:val="Hyperlink"/>
                <w:szCs w:val="18"/>
              </w:rPr>
              <w:t xml:space="preserve"> </w:t>
            </w:r>
          </w:p>
        </w:tc>
      </w:tr>
      <w:tr w:rsidR="004F32B0" w:rsidRPr="00BD7B9D" w14:paraId="0D69FE75"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2CFB08A0" w14:textId="1FEB39C2" w:rsidR="004F32B0" w:rsidRPr="00BD7B9D" w:rsidRDefault="004F32B0" w:rsidP="004F32B0">
            <w:pPr>
              <w:pStyle w:val="TableParagraph"/>
              <w:rPr>
                <w:szCs w:val="18"/>
              </w:rPr>
            </w:pPr>
            <w:r w:rsidRPr="00BD7B9D">
              <w:rPr>
                <w:szCs w:val="18"/>
              </w:rPr>
              <w:t xml:space="preserve">Risk </w:t>
            </w:r>
          </w:p>
        </w:tc>
        <w:tc>
          <w:tcPr>
            <w:tcW w:w="5778" w:type="dxa"/>
          </w:tcPr>
          <w:p w14:paraId="0AB79B50" w14:textId="0B3865EB" w:rsidR="00685C27" w:rsidRPr="00BD7B9D" w:rsidRDefault="004C6841" w:rsidP="004C6841">
            <w:pPr>
              <w:pStyle w:val="Bullet"/>
              <w:cnfStyle w:val="000000000000" w:firstRow="0" w:lastRow="0" w:firstColumn="0" w:lastColumn="0" w:oddVBand="0" w:evenVBand="0" w:oddHBand="0" w:evenHBand="0" w:firstRowFirstColumn="0" w:firstRowLastColumn="0" w:lastRowFirstColumn="0" w:lastRowLastColumn="0"/>
              <w:rPr>
                <w:sz w:val="18"/>
                <w:szCs w:val="18"/>
              </w:rPr>
            </w:pPr>
            <w:r w:rsidRPr="00BD7B9D">
              <w:rPr>
                <w:b/>
                <w:sz w:val="18"/>
                <w:szCs w:val="18"/>
              </w:rPr>
              <w:t xml:space="preserve">Assess risk of </w:t>
            </w:r>
            <w:r w:rsidR="00685C27" w:rsidRPr="00BD7B9D">
              <w:rPr>
                <w:b/>
                <w:sz w:val="18"/>
                <w:szCs w:val="18"/>
              </w:rPr>
              <w:t>opioid-induced morbidity or mortality</w:t>
            </w:r>
            <w:r w:rsidR="00685C27" w:rsidRPr="00BD7B9D">
              <w:rPr>
                <w:sz w:val="18"/>
                <w:szCs w:val="18"/>
              </w:rPr>
              <w:t xml:space="preserve"> based on factors and combinations of factors such as </w:t>
            </w:r>
            <w:hyperlink w:anchor="_Medical_and_behavioral" w:history="1">
              <w:r w:rsidR="00685C27" w:rsidRPr="00BD7B9D">
                <w:rPr>
                  <w:rStyle w:val="Hyperlink"/>
                  <w:sz w:val="18"/>
                  <w:szCs w:val="18"/>
                </w:rPr>
                <w:t>medical and behavioral comorbidities</w:t>
              </w:r>
            </w:hyperlink>
            <w:r w:rsidR="00685C27" w:rsidRPr="00BD7B9D">
              <w:rPr>
                <w:sz w:val="18"/>
                <w:szCs w:val="18"/>
              </w:rPr>
              <w:t xml:space="preserve">, polypharmacy, current </w:t>
            </w:r>
            <w:hyperlink w:anchor="_Substance_use_disorder" w:history="1">
              <w:r w:rsidR="00685C27" w:rsidRPr="00BD7B9D">
                <w:rPr>
                  <w:rStyle w:val="Hyperlink"/>
                  <w:sz w:val="18"/>
                  <w:szCs w:val="18"/>
                </w:rPr>
                <w:t>substance use disorder or abuse</w:t>
              </w:r>
            </w:hyperlink>
            <w:r w:rsidR="00685C27" w:rsidRPr="00BD7B9D">
              <w:rPr>
                <w:sz w:val="18"/>
                <w:szCs w:val="18"/>
              </w:rPr>
              <w:t xml:space="preserve">, </w:t>
            </w:r>
            <w:hyperlink w:anchor="_Aberrant_Behaviors" w:history="1">
              <w:r w:rsidR="00685C27" w:rsidRPr="00BD7B9D">
                <w:rPr>
                  <w:rStyle w:val="Hyperlink"/>
                  <w:sz w:val="18"/>
                  <w:szCs w:val="18"/>
                </w:rPr>
                <w:t>aberrant behavior</w:t>
              </w:r>
            </w:hyperlink>
            <w:r w:rsidR="00685C27" w:rsidRPr="00BD7B9D">
              <w:rPr>
                <w:sz w:val="18"/>
                <w:szCs w:val="18"/>
              </w:rPr>
              <w:t xml:space="preserve">, </w:t>
            </w:r>
            <w:hyperlink w:anchor="_Dose_of_opioids" w:history="1">
              <w:r w:rsidR="00685C27" w:rsidRPr="00BD7B9D">
                <w:rPr>
                  <w:rStyle w:val="Hyperlink"/>
                  <w:sz w:val="18"/>
                  <w:szCs w:val="18"/>
                </w:rPr>
                <w:t>dose of opioids</w:t>
              </w:r>
            </w:hyperlink>
            <w:r w:rsidR="00685C27" w:rsidRPr="00BD7B9D">
              <w:rPr>
                <w:sz w:val="18"/>
                <w:szCs w:val="18"/>
              </w:rPr>
              <w:t xml:space="preserve">, or the use of </w:t>
            </w:r>
            <w:hyperlink w:anchor="_Use_of_any" w:history="1">
              <w:r w:rsidR="00685C27" w:rsidRPr="00BD7B9D">
                <w:rPr>
                  <w:rStyle w:val="Hyperlink"/>
                  <w:sz w:val="18"/>
                  <w:szCs w:val="18"/>
                </w:rPr>
                <w:t xml:space="preserve">any concurrent </w:t>
              </w:r>
              <w:r w:rsidR="002C0CB3">
                <w:rPr>
                  <w:rStyle w:val="Hyperlink"/>
                  <w:sz w:val="18"/>
                  <w:szCs w:val="18"/>
                </w:rPr>
                <w:t>sedatives</w:t>
              </w:r>
            </w:hyperlink>
            <w:r w:rsidR="00685C27" w:rsidRPr="00BD7B9D">
              <w:rPr>
                <w:sz w:val="18"/>
                <w:szCs w:val="18"/>
              </w:rPr>
              <w:t>. Any patient using &gt;90 MED per day is considered high risk.</w:t>
            </w:r>
          </w:p>
          <w:p w14:paraId="5117084C" w14:textId="677CAABB" w:rsidR="004C6841" w:rsidRPr="00BD7B9D" w:rsidRDefault="004C6841" w:rsidP="004C6841">
            <w:pPr>
              <w:pStyle w:val="Bullet"/>
              <w:cnfStyle w:val="000000000000" w:firstRow="0" w:lastRow="0" w:firstColumn="0" w:lastColumn="0" w:oddVBand="0" w:evenVBand="0" w:oddHBand="0" w:evenHBand="0" w:firstRowFirstColumn="0" w:firstRowLastColumn="0" w:lastRowFirstColumn="0" w:lastRowLastColumn="0"/>
              <w:rPr>
                <w:sz w:val="18"/>
                <w:szCs w:val="18"/>
              </w:rPr>
            </w:pPr>
            <w:r w:rsidRPr="00BD7B9D">
              <w:rPr>
                <w:b/>
                <w:sz w:val="18"/>
                <w:szCs w:val="18"/>
              </w:rPr>
              <w:t xml:space="preserve">Assess risk of </w:t>
            </w:r>
            <w:r w:rsidR="003D17D5" w:rsidRPr="00BD7B9D">
              <w:rPr>
                <w:b/>
                <w:sz w:val="18"/>
                <w:szCs w:val="18"/>
              </w:rPr>
              <w:t>overdose</w:t>
            </w:r>
            <w:r w:rsidRPr="00BD7B9D">
              <w:rPr>
                <w:sz w:val="18"/>
                <w:szCs w:val="18"/>
              </w:rPr>
              <w:t xml:space="preserve"> based on</w:t>
            </w:r>
            <w:r w:rsidR="003F3077" w:rsidRPr="00BD7B9D">
              <w:rPr>
                <w:sz w:val="18"/>
                <w:szCs w:val="18"/>
              </w:rPr>
              <w:t xml:space="preserve"> history of overdose, </w:t>
            </w:r>
            <w:hyperlink w:anchor="_Substance_use_disorder_1" w:history="1">
              <w:r w:rsidR="003F3077" w:rsidRPr="00BD7B9D">
                <w:rPr>
                  <w:rStyle w:val="Hyperlink"/>
                  <w:sz w:val="18"/>
                  <w:szCs w:val="18"/>
                </w:rPr>
                <w:t>substance use disorder or abuse</w:t>
              </w:r>
            </w:hyperlink>
            <w:r w:rsidR="003F3077" w:rsidRPr="00BD7B9D">
              <w:rPr>
                <w:sz w:val="18"/>
                <w:szCs w:val="18"/>
              </w:rPr>
              <w:t xml:space="preserve">, sleep apnea, chronic lung disease, and use of any concurrent </w:t>
            </w:r>
            <w:r w:rsidR="002C0CB3">
              <w:rPr>
                <w:sz w:val="18"/>
                <w:szCs w:val="18"/>
              </w:rPr>
              <w:t>sedatives</w:t>
            </w:r>
            <w:r w:rsidR="003F3077" w:rsidRPr="00BD7B9D">
              <w:rPr>
                <w:sz w:val="18"/>
                <w:szCs w:val="18"/>
              </w:rPr>
              <w:t xml:space="preserve">. </w:t>
            </w:r>
          </w:p>
          <w:p w14:paraId="3586BF69" w14:textId="7556C6FA" w:rsidR="004F32B0" w:rsidRPr="00BD7B9D" w:rsidRDefault="003F3077" w:rsidP="004F32B0">
            <w:pPr>
              <w:pStyle w:val="TableParagraph"/>
              <w:cnfStyle w:val="000000000000" w:firstRow="0" w:lastRow="0" w:firstColumn="0" w:lastColumn="0" w:oddVBand="0" w:evenVBand="0" w:oddHBand="0" w:evenHBand="0" w:firstRowFirstColumn="0" w:firstRowLastColumn="0" w:lastRowFirstColumn="0" w:lastRowLastColumn="0"/>
              <w:rPr>
                <w:szCs w:val="18"/>
              </w:rPr>
            </w:pPr>
            <w:r w:rsidRPr="00BD7B9D">
              <w:rPr>
                <w:szCs w:val="18"/>
              </w:rPr>
              <w:t xml:space="preserve">See the </w:t>
            </w:r>
            <w:hyperlink w:anchor="_How__to" w:history="1">
              <w:r w:rsidRPr="00BD7B9D">
                <w:rPr>
                  <w:rStyle w:val="Hyperlink"/>
                  <w:szCs w:val="18"/>
                </w:rPr>
                <w:t>assessing risk section</w:t>
              </w:r>
            </w:hyperlink>
            <w:r w:rsidRPr="00BD7B9D">
              <w:rPr>
                <w:szCs w:val="18"/>
              </w:rPr>
              <w:t xml:space="preserve"> for </w:t>
            </w:r>
            <w:r w:rsidR="004C6841" w:rsidRPr="00BD7B9D">
              <w:rPr>
                <w:szCs w:val="18"/>
              </w:rPr>
              <w:t xml:space="preserve">details on </w:t>
            </w:r>
            <w:r w:rsidRPr="00BD7B9D">
              <w:rPr>
                <w:szCs w:val="18"/>
              </w:rPr>
              <w:t xml:space="preserve">how to assess. </w:t>
            </w:r>
          </w:p>
        </w:tc>
      </w:tr>
      <w:tr w:rsidR="004F32B0" w:rsidRPr="00BD7B9D" w14:paraId="594FE421"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5863625E" w14:textId="09A0F06A" w:rsidR="004F32B0" w:rsidRPr="00BD7B9D" w:rsidRDefault="004F32B0" w:rsidP="004F32B0">
            <w:pPr>
              <w:pStyle w:val="TableParagraph"/>
              <w:rPr>
                <w:szCs w:val="18"/>
              </w:rPr>
            </w:pPr>
            <w:r w:rsidRPr="00BD7B9D">
              <w:rPr>
                <w:szCs w:val="18"/>
              </w:rPr>
              <w:t xml:space="preserve">Current substances used, including </w:t>
            </w:r>
            <w:hyperlink r:id="rId15" w:history="1">
              <w:r w:rsidR="002C0CB3">
                <w:rPr>
                  <w:rStyle w:val="Hyperlink"/>
                  <w:b w:val="0"/>
                  <w:bCs w:val="0"/>
                  <w:szCs w:val="18"/>
                </w:rPr>
                <w:t>sedative</w:t>
              </w:r>
              <w:r w:rsidRPr="00BD7B9D">
                <w:rPr>
                  <w:rStyle w:val="Hyperlink"/>
                  <w:b w:val="0"/>
                  <w:bCs w:val="0"/>
                  <w:szCs w:val="18"/>
                </w:rPr>
                <w:t>s</w:t>
              </w:r>
            </w:hyperlink>
            <w:r w:rsidRPr="00BD7B9D">
              <w:rPr>
                <w:szCs w:val="18"/>
              </w:rPr>
              <w:t xml:space="preserve"> (e.g.</w:t>
            </w:r>
            <w:r w:rsidR="005F434D" w:rsidRPr="00BD7B9D">
              <w:rPr>
                <w:szCs w:val="18"/>
              </w:rPr>
              <w:t>,</w:t>
            </w:r>
            <w:r w:rsidRPr="00BD7B9D">
              <w:rPr>
                <w:szCs w:val="18"/>
              </w:rPr>
              <w:t xml:space="preserve">  benzodiazepines, carisoprodol)</w:t>
            </w:r>
          </w:p>
        </w:tc>
        <w:tc>
          <w:tcPr>
            <w:tcW w:w="5778" w:type="dxa"/>
          </w:tcPr>
          <w:p w14:paraId="77C19A78" w14:textId="26D963B4" w:rsidR="004F32B0" w:rsidRPr="00BD7B9D" w:rsidRDefault="00ED04EF" w:rsidP="004F32B0">
            <w:pPr>
              <w:pStyle w:val="TableParagraph"/>
              <w:cnfStyle w:val="000000100000" w:firstRow="0" w:lastRow="0" w:firstColumn="0" w:lastColumn="0" w:oddVBand="0" w:evenVBand="0" w:oddHBand="1" w:evenHBand="0" w:firstRowFirstColumn="0" w:firstRowLastColumn="0" w:lastRowFirstColumn="0" w:lastRowLastColumn="0"/>
              <w:rPr>
                <w:color w:val="404040" w:themeColor="text1" w:themeTint="BF"/>
                <w:szCs w:val="18"/>
                <w:u w:val="dotted"/>
              </w:rPr>
            </w:pPr>
            <w:hyperlink r:id="rId16" w:history="1">
              <w:r w:rsidR="004F32B0" w:rsidRPr="00BD7B9D">
                <w:rPr>
                  <w:rStyle w:val="Hyperlink"/>
                  <w:szCs w:val="18"/>
                </w:rPr>
                <w:t>UDT</w:t>
              </w:r>
            </w:hyperlink>
          </w:p>
        </w:tc>
      </w:tr>
      <w:tr w:rsidR="004F32B0" w:rsidRPr="00BD7B9D" w14:paraId="48C0AA35"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68EFAD9D" w14:textId="3F8E392C" w:rsidR="004F32B0" w:rsidRPr="00BD7B9D" w:rsidRDefault="004F32B0" w:rsidP="004F32B0">
            <w:pPr>
              <w:pStyle w:val="TableParagraph"/>
              <w:rPr>
                <w:szCs w:val="18"/>
              </w:rPr>
            </w:pPr>
            <w:r w:rsidRPr="00BD7B9D">
              <w:rPr>
                <w:szCs w:val="18"/>
              </w:rPr>
              <w:t xml:space="preserve">Current medications filled, including </w:t>
            </w:r>
            <w:hyperlink r:id="rId17" w:history="1">
              <w:r w:rsidR="002C0CB3">
                <w:rPr>
                  <w:rStyle w:val="Hyperlink"/>
                  <w:b w:val="0"/>
                  <w:bCs w:val="0"/>
                  <w:szCs w:val="18"/>
                </w:rPr>
                <w:t>sedative</w:t>
              </w:r>
              <w:r w:rsidRPr="00BD7B9D">
                <w:rPr>
                  <w:rStyle w:val="Hyperlink"/>
                  <w:b w:val="0"/>
                  <w:bCs w:val="0"/>
                  <w:szCs w:val="18"/>
                </w:rPr>
                <w:t>s</w:t>
              </w:r>
            </w:hyperlink>
            <w:r w:rsidRPr="00BD7B9D">
              <w:rPr>
                <w:szCs w:val="18"/>
              </w:rPr>
              <w:t xml:space="preserve"> (e.g.</w:t>
            </w:r>
            <w:r w:rsidR="00EB5F32" w:rsidRPr="00BD7B9D">
              <w:rPr>
                <w:szCs w:val="18"/>
              </w:rPr>
              <w:t>,</w:t>
            </w:r>
            <w:r w:rsidRPr="00BD7B9D">
              <w:rPr>
                <w:szCs w:val="18"/>
              </w:rPr>
              <w:t xml:space="preserve">  benzodiazepines, carisoprodol)</w:t>
            </w:r>
          </w:p>
        </w:tc>
        <w:tc>
          <w:tcPr>
            <w:tcW w:w="5778" w:type="dxa"/>
          </w:tcPr>
          <w:p w14:paraId="4DE441E4" w14:textId="19964880" w:rsidR="004F32B0" w:rsidRPr="00BD7B9D" w:rsidRDefault="00ED04EF" w:rsidP="004F32B0">
            <w:pPr>
              <w:pStyle w:val="TableParagraph"/>
              <w:cnfStyle w:val="000000000000" w:firstRow="0" w:lastRow="0" w:firstColumn="0" w:lastColumn="0" w:oddVBand="0" w:evenVBand="0" w:oddHBand="0" w:evenHBand="0" w:firstRowFirstColumn="0" w:firstRowLastColumn="0" w:lastRowFirstColumn="0" w:lastRowLastColumn="0"/>
              <w:rPr>
                <w:szCs w:val="18"/>
              </w:rPr>
            </w:pPr>
            <w:hyperlink w:anchor="_Medications_taken/dose" w:history="1">
              <w:r w:rsidR="00CF7B07" w:rsidRPr="00BD7B9D">
                <w:rPr>
                  <w:rStyle w:val="Hyperlink"/>
                  <w:szCs w:val="18"/>
                </w:rPr>
                <w:t>P</w:t>
              </w:r>
              <w:r w:rsidR="009D7A40" w:rsidRPr="00BD7B9D">
                <w:rPr>
                  <w:rStyle w:val="Hyperlink"/>
                  <w:szCs w:val="18"/>
                </w:rPr>
                <w:t>D</w:t>
              </w:r>
              <w:r w:rsidR="00CF7B07" w:rsidRPr="00BD7B9D">
                <w:rPr>
                  <w:rStyle w:val="Hyperlink"/>
                  <w:szCs w:val="18"/>
                </w:rPr>
                <w:t>MP</w:t>
              </w:r>
            </w:hyperlink>
          </w:p>
        </w:tc>
      </w:tr>
      <w:tr w:rsidR="004F32B0" w:rsidRPr="00BD7B9D" w14:paraId="7C2AB30D"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224EA00D" w14:textId="77777777" w:rsidR="004F32B0" w:rsidRPr="00BD7B9D" w:rsidRDefault="004F32B0" w:rsidP="004F32B0">
            <w:pPr>
              <w:pStyle w:val="TableParagraph"/>
              <w:rPr>
                <w:szCs w:val="18"/>
              </w:rPr>
            </w:pPr>
            <w:r w:rsidRPr="00BD7B9D">
              <w:rPr>
                <w:szCs w:val="18"/>
              </w:rPr>
              <w:t>Morphine equivalent dosing</w:t>
            </w:r>
          </w:p>
        </w:tc>
        <w:tc>
          <w:tcPr>
            <w:tcW w:w="5778" w:type="dxa"/>
          </w:tcPr>
          <w:p w14:paraId="3D5EE2AC" w14:textId="182E3B74" w:rsidR="004F32B0" w:rsidRPr="00BD7B9D" w:rsidRDefault="004F32B0" w:rsidP="004F32B0">
            <w:pPr>
              <w:pStyle w:val="TableParagraph"/>
              <w:cnfStyle w:val="000000100000" w:firstRow="0" w:lastRow="0" w:firstColumn="0" w:lastColumn="0" w:oddVBand="0" w:evenVBand="0" w:oddHBand="1" w:evenHBand="0" w:firstRowFirstColumn="0" w:firstRowLastColumn="0" w:lastRowFirstColumn="0" w:lastRowLastColumn="0"/>
              <w:rPr>
                <w:szCs w:val="18"/>
              </w:rPr>
            </w:pPr>
            <w:r w:rsidRPr="00BD7B9D">
              <w:rPr>
                <w:szCs w:val="18"/>
              </w:rPr>
              <w:t xml:space="preserve">MED </w:t>
            </w:r>
            <w:hyperlink r:id="rId18" w:history="1">
              <w:r w:rsidRPr="00BD7B9D">
                <w:rPr>
                  <w:rStyle w:val="Hyperlink"/>
                  <w:szCs w:val="18"/>
                </w:rPr>
                <w:t>calculator</w:t>
              </w:r>
            </w:hyperlink>
          </w:p>
        </w:tc>
      </w:tr>
      <w:tr w:rsidR="004F32B0" w:rsidRPr="00BD7B9D" w14:paraId="5B15336C"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0D24005F" w14:textId="77777777" w:rsidR="004F32B0" w:rsidRPr="00BD7B9D" w:rsidRDefault="004F32B0" w:rsidP="004F32B0">
            <w:pPr>
              <w:pStyle w:val="TableParagraph"/>
              <w:rPr>
                <w:szCs w:val="18"/>
              </w:rPr>
            </w:pPr>
            <w:r w:rsidRPr="00BD7B9D">
              <w:rPr>
                <w:szCs w:val="18"/>
              </w:rPr>
              <w:t>Informed consent</w:t>
            </w:r>
          </w:p>
        </w:tc>
        <w:tc>
          <w:tcPr>
            <w:tcW w:w="5778" w:type="dxa"/>
          </w:tcPr>
          <w:p w14:paraId="392EFFB9" w14:textId="2EEE6018" w:rsidR="004F32B0" w:rsidRPr="00BD7B9D" w:rsidRDefault="004F32B0" w:rsidP="004F32B0">
            <w:pPr>
              <w:pStyle w:val="TableParagraph"/>
              <w:cnfStyle w:val="000000000000" w:firstRow="0" w:lastRow="0" w:firstColumn="0" w:lastColumn="0" w:oddVBand="0" w:evenVBand="0" w:oddHBand="0" w:evenHBand="0" w:firstRowFirstColumn="0" w:firstRowLastColumn="0" w:lastRowFirstColumn="0" w:lastRowLastColumn="0"/>
              <w:rPr>
                <w:szCs w:val="18"/>
              </w:rPr>
            </w:pPr>
            <w:r w:rsidRPr="00BD7B9D">
              <w:rPr>
                <w:szCs w:val="18"/>
              </w:rPr>
              <w:t xml:space="preserve">Review the </w:t>
            </w:r>
            <w:hyperlink r:id="rId19" w:history="1">
              <w:r w:rsidR="002D0BB4" w:rsidRPr="00BD7B9D">
                <w:rPr>
                  <w:rStyle w:val="Hyperlink"/>
                  <w:szCs w:val="18"/>
                </w:rPr>
                <w:t xml:space="preserve">patient agreement </w:t>
              </w:r>
            </w:hyperlink>
            <w:r w:rsidR="00CF7B07" w:rsidRPr="00BD7B9D">
              <w:rPr>
                <w:szCs w:val="18"/>
              </w:rPr>
              <w:t xml:space="preserve"> and have the patient sign it</w:t>
            </w:r>
          </w:p>
        </w:tc>
      </w:tr>
      <w:tr w:rsidR="004F32B0" w:rsidRPr="00BD7B9D" w14:paraId="0B7B33E8"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04E6D0A9" w14:textId="77777777" w:rsidR="004F32B0" w:rsidRPr="00BD7B9D" w:rsidRDefault="004F32B0" w:rsidP="004F32B0">
            <w:pPr>
              <w:pStyle w:val="TableParagraph"/>
              <w:rPr>
                <w:szCs w:val="18"/>
              </w:rPr>
            </w:pPr>
            <w:r w:rsidRPr="00BD7B9D">
              <w:rPr>
                <w:szCs w:val="18"/>
              </w:rPr>
              <w:t>Calculation of morphine equivalent dosing</w:t>
            </w:r>
          </w:p>
        </w:tc>
        <w:tc>
          <w:tcPr>
            <w:tcW w:w="5778" w:type="dxa"/>
          </w:tcPr>
          <w:p w14:paraId="25DF8843" w14:textId="61C99428" w:rsidR="004F32B0" w:rsidRPr="00BD7B9D" w:rsidRDefault="004F32B0" w:rsidP="004F32B0">
            <w:pPr>
              <w:pStyle w:val="TableParagraph"/>
              <w:cnfStyle w:val="000000100000" w:firstRow="0" w:lastRow="0" w:firstColumn="0" w:lastColumn="0" w:oddVBand="0" w:evenVBand="0" w:oddHBand="1" w:evenHBand="0" w:firstRowFirstColumn="0" w:firstRowLastColumn="0" w:lastRowFirstColumn="0" w:lastRowLastColumn="0"/>
              <w:rPr>
                <w:szCs w:val="18"/>
              </w:rPr>
            </w:pPr>
            <w:r w:rsidRPr="00BD7B9D">
              <w:rPr>
                <w:szCs w:val="18"/>
              </w:rPr>
              <w:t xml:space="preserve">MED </w:t>
            </w:r>
            <w:hyperlink r:id="rId20" w:history="1">
              <w:r w:rsidRPr="00BD7B9D">
                <w:rPr>
                  <w:rStyle w:val="Hyperlink"/>
                  <w:szCs w:val="18"/>
                </w:rPr>
                <w:t>calculator</w:t>
              </w:r>
            </w:hyperlink>
          </w:p>
        </w:tc>
      </w:tr>
      <w:tr w:rsidR="00CC20D3" w:rsidRPr="00BD7B9D" w14:paraId="6D146CB6"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684419BF" w14:textId="4A7F85A6" w:rsidR="00CC20D3" w:rsidRPr="00BD7B9D" w:rsidRDefault="00CC20D3" w:rsidP="00717772">
            <w:pPr>
              <w:pStyle w:val="TableParagraph"/>
              <w:rPr>
                <w:szCs w:val="18"/>
              </w:rPr>
            </w:pPr>
            <w:r w:rsidRPr="00BD7B9D">
              <w:rPr>
                <w:i/>
                <w:szCs w:val="18"/>
              </w:rPr>
              <w:t xml:space="preserve">If not done during acute or subacute pain period: </w:t>
            </w:r>
            <w:r w:rsidR="00717772">
              <w:rPr>
                <w:szCs w:val="18"/>
              </w:rPr>
              <w:t>potential</w:t>
            </w:r>
            <w:r w:rsidR="00717772" w:rsidRPr="00BD7B9D">
              <w:rPr>
                <w:szCs w:val="18"/>
              </w:rPr>
              <w:t xml:space="preserve"> </w:t>
            </w:r>
            <w:r w:rsidRPr="00BD7B9D">
              <w:rPr>
                <w:szCs w:val="18"/>
              </w:rPr>
              <w:t xml:space="preserve">for </w:t>
            </w:r>
            <w:r w:rsidR="007F1D32" w:rsidRPr="00BD7B9D">
              <w:rPr>
                <w:szCs w:val="18"/>
              </w:rPr>
              <w:t xml:space="preserve">substance/opioid </w:t>
            </w:r>
            <w:r w:rsidR="00D35F24" w:rsidRPr="00BD7B9D">
              <w:rPr>
                <w:szCs w:val="18"/>
              </w:rPr>
              <w:t>misuse</w:t>
            </w:r>
            <w:r w:rsidR="007F1D32" w:rsidRPr="00BD7B9D">
              <w:rPr>
                <w:szCs w:val="18"/>
              </w:rPr>
              <w:t>,</w:t>
            </w:r>
            <w:r w:rsidR="00D35F24" w:rsidRPr="00BD7B9D">
              <w:rPr>
                <w:szCs w:val="18"/>
              </w:rPr>
              <w:t xml:space="preserve"> abuse</w:t>
            </w:r>
            <w:r w:rsidR="007F1D32" w:rsidRPr="00BD7B9D">
              <w:rPr>
                <w:szCs w:val="18"/>
              </w:rPr>
              <w:t>, or disorder</w:t>
            </w:r>
          </w:p>
        </w:tc>
        <w:tc>
          <w:tcPr>
            <w:tcW w:w="5778" w:type="dxa"/>
          </w:tcPr>
          <w:p w14:paraId="179C9532" w14:textId="5658A03F" w:rsidR="00CC20D3" w:rsidRPr="00BD7B9D" w:rsidRDefault="002D0BB4" w:rsidP="0005465E">
            <w:pPr>
              <w:pStyle w:val="TableParagraph"/>
              <w:cnfStyle w:val="000000000000" w:firstRow="0" w:lastRow="0" w:firstColumn="0" w:lastColumn="0" w:oddVBand="0" w:evenVBand="0" w:oddHBand="0" w:evenHBand="0" w:firstRowFirstColumn="0" w:firstRowLastColumn="0" w:lastRowFirstColumn="0" w:lastRowLastColumn="0"/>
              <w:rPr>
                <w:szCs w:val="18"/>
              </w:rPr>
            </w:pPr>
            <w:r w:rsidRPr="00BD7B9D">
              <w:rPr>
                <w:szCs w:val="18"/>
              </w:rPr>
              <w:t xml:space="preserve">Potential tools to use: </w:t>
            </w:r>
            <w:hyperlink r:id="rId21" w:history="1">
              <w:r w:rsidR="00CC20D3" w:rsidRPr="00BD7B9D">
                <w:rPr>
                  <w:rStyle w:val="Hyperlink"/>
                  <w:szCs w:val="18"/>
                </w:rPr>
                <w:t>ORT</w:t>
              </w:r>
            </w:hyperlink>
            <w:r w:rsidR="00CC20D3" w:rsidRPr="00BD7B9D">
              <w:rPr>
                <w:szCs w:val="18"/>
              </w:rPr>
              <w:t xml:space="preserve">, </w:t>
            </w:r>
            <w:hyperlink r:id="rId22" w:history="1">
              <w:r w:rsidR="00CC20D3" w:rsidRPr="00BD7B9D">
                <w:rPr>
                  <w:rStyle w:val="Hyperlink"/>
                  <w:szCs w:val="18"/>
                </w:rPr>
                <w:t>SOAPP</w:t>
              </w:r>
            </w:hyperlink>
            <w:r w:rsidR="00CC20D3" w:rsidRPr="00BD7B9D">
              <w:rPr>
                <w:szCs w:val="18"/>
              </w:rPr>
              <w:t xml:space="preserve">, </w:t>
            </w:r>
            <w:hyperlink r:id="rId23" w:history="1">
              <w:r w:rsidR="00CC20D3" w:rsidRPr="00BD7B9D">
                <w:rPr>
                  <w:rStyle w:val="Hyperlink"/>
                  <w:szCs w:val="18"/>
                </w:rPr>
                <w:t>COMM</w:t>
              </w:r>
            </w:hyperlink>
            <w:r w:rsidR="00CC20D3" w:rsidRPr="00BD7B9D">
              <w:rPr>
                <w:szCs w:val="18"/>
              </w:rPr>
              <w:t xml:space="preserve">, </w:t>
            </w:r>
            <w:hyperlink r:id="rId24" w:history="1">
              <w:r w:rsidR="00CC20D3" w:rsidRPr="00BD7B9D">
                <w:rPr>
                  <w:rStyle w:val="Hyperlink"/>
                  <w:szCs w:val="18"/>
                </w:rPr>
                <w:t>DAST</w:t>
              </w:r>
            </w:hyperlink>
            <w:r w:rsidR="00CC20D3" w:rsidRPr="00BD7B9D">
              <w:rPr>
                <w:szCs w:val="18"/>
              </w:rPr>
              <w:t xml:space="preserve">, </w:t>
            </w:r>
            <w:hyperlink r:id="rId25" w:history="1">
              <w:r w:rsidR="00CC20D3" w:rsidRPr="00BD7B9D">
                <w:rPr>
                  <w:rStyle w:val="Hyperlink"/>
                  <w:szCs w:val="18"/>
                </w:rPr>
                <w:t>TAPS</w:t>
              </w:r>
            </w:hyperlink>
            <w:r w:rsidRPr="00BD7B9D">
              <w:rPr>
                <w:rStyle w:val="Hyperlink"/>
                <w:szCs w:val="18"/>
              </w:rPr>
              <w:t xml:space="preserve">, </w:t>
            </w:r>
            <w:hyperlink r:id="rId26" w:history="1">
              <w:r w:rsidRPr="00BD7B9D">
                <w:rPr>
                  <w:rStyle w:val="Hyperlink"/>
                  <w:szCs w:val="18"/>
                </w:rPr>
                <w:t>DSM-5</w:t>
              </w:r>
            </w:hyperlink>
          </w:p>
        </w:tc>
      </w:tr>
      <w:tr w:rsidR="004F32B0" w:rsidRPr="00BD7B9D" w14:paraId="286E26CE"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1082FC4A" w14:textId="5DDD455F" w:rsidR="004F32B0" w:rsidRPr="00BD7B9D" w:rsidRDefault="00CC20D3" w:rsidP="00CC20D3">
            <w:pPr>
              <w:pStyle w:val="TableParagraph"/>
              <w:rPr>
                <w:szCs w:val="18"/>
              </w:rPr>
            </w:pPr>
            <w:r w:rsidRPr="00BD7B9D">
              <w:rPr>
                <w:i/>
                <w:szCs w:val="18"/>
              </w:rPr>
              <w:t>If not done in the past year:</w:t>
            </w:r>
            <w:r w:rsidRPr="00BD7B9D">
              <w:rPr>
                <w:szCs w:val="18"/>
              </w:rPr>
              <w:t xml:space="preserve"> </w:t>
            </w:r>
            <w:r w:rsidR="002847D2" w:rsidRPr="00BD7B9D">
              <w:rPr>
                <w:szCs w:val="18"/>
              </w:rPr>
              <w:t xml:space="preserve">assess for </w:t>
            </w:r>
            <w:r w:rsidRPr="00BD7B9D">
              <w:rPr>
                <w:szCs w:val="18"/>
              </w:rPr>
              <w:t>a</w:t>
            </w:r>
            <w:r w:rsidR="004F32B0" w:rsidRPr="00BD7B9D">
              <w:rPr>
                <w:szCs w:val="18"/>
              </w:rPr>
              <w:t>nxiety, depression</w:t>
            </w:r>
          </w:p>
        </w:tc>
        <w:tc>
          <w:tcPr>
            <w:tcW w:w="5778" w:type="dxa"/>
          </w:tcPr>
          <w:p w14:paraId="0C154E6B" w14:textId="0F0F4EDD" w:rsidR="004F32B0" w:rsidRPr="00BD7B9D" w:rsidRDefault="00ED04EF" w:rsidP="004F32B0">
            <w:pPr>
              <w:pStyle w:val="TableParagraph"/>
              <w:cnfStyle w:val="000000100000" w:firstRow="0" w:lastRow="0" w:firstColumn="0" w:lastColumn="0" w:oddVBand="0" w:evenVBand="0" w:oddHBand="1" w:evenHBand="0" w:firstRowFirstColumn="0" w:firstRowLastColumn="0" w:lastRowFirstColumn="0" w:lastRowLastColumn="0"/>
              <w:rPr>
                <w:szCs w:val="18"/>
              </w:rPr>
            </w:pPr>
            <w:hyperlink r:id="rId27" w:history="1">
              <w:r w:rsidR="004F32B0" w:rsidRPr="00BD7B9D">
                <w:rPr>
                  <w:rStyle w:val="Hyperlink"/>
                  <w:szCs w:val="18"/>
                </w:rPr>
                <w:t>PHQ</w:t>
              </w:r>
            </w:hyperlink>
            <w:r w:rsidR="004F32B0" w:rsidRPr="00BD7B9D">
              <w:rPr>
                <w:szCs w:val="18"/>
              </w:rPr>
              <w:t xml:space="preserve">, </w:t>
            </w:r>
            <w:hyperlink r:id="rId28" w:history="1">
              <w:r w:rsidR="004F32B0" w:rsidRPr="00BD7B9D">
                <w:rPr>
                  <w:rStyle w:val="Hyperlink"/>
                  <w:szCs w:val="18"/>
                </w:rPr>
                <w:t>GAD-7</w:t>
              </w:r>
            </w:hyperlink>
            <w:r w:rsidR="00E8174A" w:rsidRPr="00BD7B9D">
              <w:rPr>
                <w:szCs w:val="18"/>
              </w:rPr>
              <w:t xml:space="preserve">; and, if elevated or suspected, consider </w:t>
            </w:r>
            <w:hyperlink r:id="rId29" w:history="1">
              <w:r w:rsidR="00E8174A" w:rsidRPr="00BD7B9D">
                <w:rPr>
                  <w:rStyle w:val="Hyperlink"/>
                  <w:szCs w:val="18"/>
                </w:rPr>
                <w:t>PTSD</w:t>
              </w:r>
            </w:hyperlink>
            <w:r w:rsidR="00E8174A" w:rsidRPr="00BD7B9D">
              <w:rPr>
                <w:szCs w:val="18"/>
              </w:rPr>
              <w:t xml:space="preserve"> screen</w:t>
            </w:r>
          </w:p>
        </w:tc>
      </w:tr>
      <w:bookmarkEnd w:id="10"/>
    </w:tbl>
    <w:p w14:paraId="4BB1DAEC" w14:textId="5A10781F" w:rsidR="008C4097" w:rsidRDefault="008C4097" w:rsidP="00B82872">
      <w:pPr>
        <w:pStyle w:val="BodyText"/>
      </w:pPr>
    </w:p>
    <w:p w14:paraId="6CDFDBDD" w14:textId="289F823F" w:rsidR="004F32B0" w:rsidRPr="00A42244" w:rsidRDefault="008C4097" w:rsidP="008C4097">
      <w:pPr>
        <w:pStyle w:val="Heading3"/>
      </w:pPr>
      <w:r>
        <w:t>Other important</w:t>
      </w:r>
      <w:r w:rsidR="00D44CC4">
        <w:t xml:space="preserve"> care pr</w:t>
      </w:r>
      <w:r w:rsidR="00CF7B07">
        <w:t xml:space="preserve">ocesses for </w:t>
      </w:r>
      <w:r w:rsidR="00D44CC4">
        <w:t>patients</w:t>
      </w:r>
      <w:r w:rsidR="00CF7B07">
        <w:t xml:space="preserve"> transitioning into their 1</w:t>
      </w:r>
      <w:r w:rsidR="002D0BB4">
        <w:t>3</w:t>
      </w:r>
      <w:r w:rsidR="00CF7B07" w:rsidRPr="00CF7B07">
        <w:rPr>
          <w:vertAlign w:val="superscript"/>
        </w:rPr>
        <w:t>th</w:t>
      </w:r>
      <w:r w:rsidR="00CF7B07">
        <w:t xml:space="preserve"> week of opioids</w:t>
      </w:r>
    </w:p>
    <w:p w14:paraId="1308297F" w14:textId="51476C5C" w:rsidR="00A42244" w:rsidRPr="00945BE1" w:rsidRDefault="00797C42" w:rsidP="00A42244">
      <w:pPr>
        <w:pStyle w:val="Bullet"/>
      </w:pPr>
      <w:r>
        <w:t xml:space="preserve">Provide patient with written notification and </w:t>
      </w:r>
      <w:r w:rsidRPr="00BD7B9D">
        <w:rPr>
          <w:rStyle w:val="Strong"/>
        </w:rPr>
        <w:t>e</w:t>
      </w:r>
      <w:r w:rsidR="00A42244" w:rsidRPr="00BD7B9D">
        <w:rPr>
          <w:rStyle w:val="Strong"/>
        </w:rPr>
        <w:t>ducate</w:t>
      </w:r>
      <w:r w:rsidR="00A42244" w:rsidRPr="00A42244">
        <w:t xml:space="preserve"> patients about the risks associated with the use of opioids (including opioid dependence), how to </w:t>
      </w:r>
      <w:r w:rsidR="00A42244" w:rsidRPr="00945BE1">
        <w:t xml:space="preserve">securely store opioids; and about the availability and location of disposal sites for unused opioid medications. </w:t>
      </w:r>
    </w:p>
    <w:p w14:paraId="4BFF2676" w14:textId="40AEBBE9" w:rsidR="00154798" w:rsidRPr="004A4521" w:rsidRDefault="00154798" w:rsidP="00154798">
      <w:pPr>
        <w:pStyle w:val="Bullet"/>
        <w:spacing w:line="240" w:lineRule="atLeast"/>
      </w:pPr>
      <w:r>
        <w:t xml:space="preserve">Prescribe </w:t>
      </w:r>
      <w:r w:rsidRPr="00BD7B9D">
        <w:rPr>
          <w:rStyle w:val="Strong"/>
        </w:rPr>
        <w:t>naloxone</w:t>
      </w:r>
      <w:r>
        <w:t xml:space="preserve"> “rescue” (nasal or injectable) if the patient is prescribed ≥ 50 MED daily, is at risk for overdose, on </w:t>
      </w:r>
      <w:hyperlink r:id="rId30" w:history="1">
        <w:r w:rsidRPr="0029317E">
          <w:rPr>
            <w:rStyle w:val="Hyperlink"/>
          </w:rPr>
          <w:t>sedative medications</w:t>
        </w:r>
      </w:hyperlink>
      <w:r>
        <w:t xml:space="preserve">, </w:t>
      </w:r>
      <w:r w:rsidR="00896296">
        <w:t xml:space="preserve">has opioid use disorder, </w:t>
      </w:r>
      <w:r>
        <w:t xml:space="preserve">or is at risk of respiratory suppression due to sleep apnea or chronic lung disease. See the </w:t>
      </w:r>
      <w:hyperlink w:anchor="_How__to" w:history="1">
        <w:r w:rsidRPr="003D17D5">
          <w:rPr>
            <w:rStyle w:val="Hyperlink"/>
          </w:rPr>
          <w:t>assessing risk section</w:t>
        </w:r>
      </w:hyperlink>
      <w:r>
        <w:t xml:space="preserve"> for how to assess. </w:t>
      </w:r>
    </w:p>
    <w:p w14:paraId="16E6D5F9" w14:textId="77777777" w:rsidR="009A047E" w:rsidRPr="00802FEE" w:rsidRDefault="009A047E" w:rsidP="009A047E">
      <w:pPr>
        <w:pStyle w:val="Bullet"/>
      </w:pPr>
      <w:r w:rsidRPr="00802FEE">
        <w:t xml:space="preserve">If the patient </w:t>
      </w:r>
      <w:r>
        <w:t>is prescribed opioid medication at an</w:t>
      </w:r>
      <w:r w:rsidRPr="00802FEE">
        <w:t xml:space="preserve"> MED ≥ 90, </w:t>
      </w:r>
      <w:r>
        <w:t>consider</w:t>
      </w:r>
      <w:r w:rsidRPr="00802FEE">
        <w:t xml:space="preserve"> a </w:t>
      </w:r>
      <w:r w:rsidRPr="00802FEE">
        <w:rPr>
          <w:rStyle w:val="Strong"/>
        </w:rPr>
        <w:t>pain specialist consultation</w:t>
      </w:r>
      <w:r w:rsidRPr="00802FEE">
        <w:t xml:space="preserve">. A pain specialist consultation is required at a dose of ≥ 120 MED/day unless </w:t>
      </w:r>
      <w:r>
        <w:t xml:space="preserve">the patient is </w:t>
      </w:r>
      <w:r w:rsidRPr="00802FEE">
        <w:t xml:space="preserve">following a tapering schedule, treatment is for short-term acute pain, pain and function </w:t>
      </w:r>
      <w:r>
        <w:t xml:space="preserve">are </w:t>
      </w:r>
      <w:r w:rsidRPr="00802FEE">
        <w:t>stable with a non-escalating dose</w:t>
      </w:r>
      <w:r>
        <w:t xml:space="preserve"> of opioids</w:t>
      </w:r>
      <w:r w:rsidRPr="00802FEE">
        <w:t xml:space="preserve">, or reasonable attempts to obtain consultation </w:t>
      </w:r>
      <w:r>
        <w:t xml:space="preserve">have </w:t>
      </w:r>
      <w:r w:rsidRPr="00802FEE">
        <w:t xml:space="preserve">failed. </w:t>
      </w:r>
    </w:p>
    <w:p w14:paraId="1409A0B6" w14:textId="360764E9" w:rsidR="008C4097" w:rsidRPr="00A42244" w:rsidRDefault="008C4097" w:rsidP="008C4097">
      <w:pPr>
        <w:pStyle w:val="Bullet"/>
      </w:pPr>
      <w:r w:rsidRPr="00A42244">
        <w:t xml:space="preserve">If you identify </w:t>
      </w:r>
      <w:r w:rsidR="00C450D2">
        <w:t xml:space="preserve">that </w:t>
      </w:r>
      <w:r w:rsidRPr="00A42244">
        <w:t xml:space="preserve">a patient has </w:t>
      </w:r>
      <w:r w:rsidRPr="00BD7B9D">
        <w:rPr>
          <w:rStyle w:val="Strong"/>
        </w:rPr>
        <w:t>opioid use disorder</w:t>
      </w:r>
      <w:r w:rsidRPr="00A42244">
        <w:t>, discuss treatment with buprenorphine or a referral to an opioid treatment program for methadone. Also</w:t>
      </w:r>
      <w:r w:rsidR="00F0384D">
        <w:t xml:space="preserve"> provide a referral </w:t>
      </w:r>
      <w:r w:rsidR="00A4041C">
        <w:t xml:space="preserve">to </w:t>
      </w:r>
      <w:r w:rsidR="00F0384D">
        <w:t>behavioral health services, if available.</w:t>
      </w:r>
    </w:p>
    <w:p w14:paraId="5E3ECADB" w14:textId="5BF2A136" w:rsidR="00A43E11" w:rsidRDefault="00A43E11" w:rsidP="00A43E11">
      <w:pPr>
        <w:pStyle w:val="Bullet"/>
      </w:pPr>
      <w:r w:rsidRPr="00BD7B9D">
        <w:rPr>
          <w:rStyle w:val="Strong"/>
        </w:rPr>
        <w:t xml:space="preserve">Within 1 to 4 weeks of </w:t>
      </w:r>
      <w:r w:rsidR="00544C0C" w:rsidRPr="00BD7B9D">
        <w:rPr>
          <w:rStyle w:val="Strong"/>
        </w:rPr>
        <w:t xml:space="preserve">prescribing </w:t>
      </w:r>
      <w:r w:rsidRPr="00BD7B9D">
        <w:rPr>
          <w:rStyle w:val="Strong"/>
        </w:rPr>
        <w:t>opioid therapy</w:t>
      </w:r>
      <w:r>
        <w:t xml:space="preserve"> for chronic pain, evaluate benefits and risks; </w:t>
      </w:r>
      <w:r w:rsidRPr="00261DEE">
        <w:rPr>
          <w:b/>
          <w:i/>
          <w:u w:val="single"/>
        </w:rPr>
        <w:t>only</w:t>
      </w:r>
      <w:r>
        <w:t xml:space="preserve"> continue opioid therapy</w:t>
      </w:r>
      <w:r w:rsidRPr="00483258">
        <w:t xml:space="preserve"> if there is clinically meaningful improvement in pain and function that outweighs risks to</w:t>
      </w:r>
      <w:r>
        <w:t xml:space="preserve"> the</w:t>
      </w:r>
      <w:r w:rsidRPr="00483258">
        <w:t xml:space="preserve"> patient</w:t>
      </w:r>
      <w:r>
        <w:t>.</w:t>
      </w:r>
    </w:p>
    <w:p w14:paraId="268971DA" w14:textId="79EB57BD" w:rsidR="006D1348" w:rsidRPr="006E320F" w:rsidRDefault="009B21F6" w:rsidP="006D1348">
      <w:pPr>
        <w:pStyle w:val="Bullet"/>
        <w:rPr>
          <w:rFonts w:cs="TradeGothic CondEighteen"/>
          <w:color w:val="000000"/>
        </w:rPr>
      </w:pPr>
      <w:r>
        <w:t xml:space="preserve">If appropriate, begin a </w:t>
      </w:r>
      <w:hyperlink r:id="rId31" w:history="1">
        <w:r w:rsidRPr="00F851D9">
          <w:rPr>
            <w:rStyle w:val="Hyperlink"/>
          </w:rPr>
          <w:t>tapering protocol</w:t>
        </w:r>
      </w:hyperlink>
      <w:r>
        <w:t xml:space="preserve"> tailored to the patient. </w:t>
      </w:r>
      <w:bookmarkStart w:id="11" w:name="_Toc1997745"/>
      <w:bookmarkStart w:id="12" w:name="_Toc1997826"/>
      <w:r w:rsidR="006D1348">
        <w:t>S</w:t>
      </w:r>
      <w:r w:rsidR="006D1348" w:rsidRPr="00261DEE">
        <w:t xml:space="preserve">low opioid </w:t>
      </w:r>
      <w:r w:rsidR="006D1348" w:rsidRPr="00BD7B9D">
        <w:rPr>
          <w:rStyle w:val="Strong"/>
        </w:rPr>
        <w:t>tapers</w:t>
      </w:r>
      <w:r w:rsidR="006D1348">
        <w:t xml:space="preserve"> (e.g., 10% per month</w:t>
      </w:r>
      <w:r w:rsidR="00B453A5">
        <w:t xml:space="preserve"> or slower</w:t>
      </w:r>
      <w:r w:rsidR="006D1348">
        <w:t>)</w:t>
      </w:r>
      <w:r w:rsidR="006D1348" w:rsidRPr="00261DEE">
        <w:t xml:space="preserve"> as well as pauses</w:t>
      </w:r>
      <w:r w:rsidR="006D1348">
        <w:t xml:space="preserve"> in the taper with a defined resume time</w:t>
      </w:r>
      <w:r w:rsidR="006D1348" w:rsidRPr="00261DEE">
        <w:t xml:space="preserve"> allow gradual accommodation to lower </w:t>
      </w:r>
      <w:r w:rsidR="006D1348" w:rsidRPr="006E320F">
        <w:t>opioid dosages</w:t>
      </w:r>
      <w:r w:rsidR="00A4041C">
        <w:t xml:space="preserve"> and are best practice</w:t>
      </w:r>
      <w:r w:rsidR="00B453A5">
        <w:t>s</w:t>
      </w:r>
      <w:r w:rsidR="006D1348" w:rsidRPr="006E320F">
        <w:t xml:space="preserve">. </w:t>
      </w:r>
      <w:r w:rsidR="006D1348">
        <w:t xml:space="preserve">If a patient is enthusiastic about tapering, </w:t>
      </w:r>
      <w:r w:rsidR="00A4041C">
        <w:t xml:space="preserve">they can increase the </w:t>
      </w:r>
      <w:r w:rsidR="00B453A5">
        <w:t xml:space="preserve">taper </w:t>
      </w:r>
      <w:r w:rsidR="00A4041C">
        <w:t>rate</w:t>
      </w:r>
      <w:r w:rsidR="00717772">
        <w:t xml:space="preserve"> (e.g., </w:t>
      </w:r>
      <w:r w:rsidR="006D1348">
        <w:t>10% every 2 weeks</w:t>
      </w:r>
      <w:r w:rsidR="00717772">
        <w:t>)</w:t>
      </w:r>
      <w:r w:rsidR="006D1348">
        <w:t xml:space="preserve">. Avoid increasing doses once tapering </w:t>
      </w:r>
      <w:r w:rsidR="0052328A">
        <w:t xml:space="preserve">begins </w:t>
      </w:r>
      <w:r w:rsidR="006D1348">
        <w:t>by identifying non-opioid strategies for pain flares. The only exception is a new acute pain problem.</w:t>
      </w:r>
    </w:p>
    <w:p w14:paraId="01E189A5" w14:textId="1EA142F3" w:rsidR="006D1348" w:rsidRDefault="007A5580" w:rsidP="006D1348">
      <w:pPr>
        <w:pStyle w:val="Bullet"/>
      </w:pPr>
      <w:r>
        <w:rPr>
          <w:noProof/>
        </w:rPr>
        <mc:AlternateContent>
          <mc:Choice Requires="wps">
            <w:drawing>
              <wp:anchor distT="0" distB="0" distL="114300" distR="114300" simplePos="0" relativeHeight="251658243" behindDoc="0" locked="0" layoutInCell="1" allowOverlap="1" wp14:anchorId="2B80398B" wp14:editId="2DB54FDD">
                <wp:simplePos x="0" y="0"/>
                <wp:positionH relativeFrom="margin">
                  <wp:posOffset>3667125</wp:posOffset>
                </wp:positionH>
                <wp:positionV relativeFrom="paragraph">
                  <wp:posOffset>296545</wp:posOffset>
                </wp:positionV>
                <wp:extent cx="3232150" cy="4810125"/>
                <wp:effectExtent l="57150" t="38100" r="63500" b="85725"/>
                <wp:wrapSquare wrapText="bothSides"/>
                <wp:docPr id="9" name="Rounded Rectangle 9"/>
                <wp:cNvGraphicFramePr/>
                <a:graphic xmlns:a="http://schemas.openxmlformats.org/drawingml/2006/main">
                  <a:graphicData uri="http://schemas.microsoft.com/office/word/2010/wordprocessingShape">
                    <wps:wsp>
                      <wps:cNvSpPr/>
                      <wps:spPr>
                        <a:xfrm>
                          <a:off x="0" y="0"/>
                          <a:ext cx="3232150" cy="481012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14:paraId="314E12E3" w14:textId="77777777" w:rsidR="00951A45" w:rsidRPr="00AE0425" w:rsidRDefault="00951A45" w:rsidP="002805C3">
                            <w:pPr>
                              <w:jc w:val="center"/>
                              <w:rPr>
                                <w:rFonts w:ascii="Corbel" w:hAnsi="Corbel"/>
                                <w:color w:val="FFFFFF" w:themeColor="background1"/>
                                <w:u w:val="single"/>
                              </w:rPr>
                            </w:pPr>
                            <w:r w:rsidRPr="00AE0425">
                              <w:rPr>
                                <w:rFonts w:ascii="Corbel" w:hAnsi="Corbel"/>
                                <w:color w:val="FFFFFF" w:themeColor="background1"/>
                                <w:u w:val="single"/>
                              </w:rPr>
                              <w:t>What to document in the patient record</w:t>
                            </w:r>
                          </w:p>
                          <w:p w14:paraId="29095D02" w14:textId="4FDD8038" w:rsidR="00951A45" w:rsidRPr="0091310B" w:rsidRDefault="00951A45" w:rsidP="0091310B">
                            <w:pPr>
                              <w:pStyle w:val="Bullet"/>
                              <w:rPr>
                                <w:color w:val="FFFFFF" w:themeColor="background1"/>
                              </w:rPr>
                            </w:pPr>
                            <w:r w:rsidRPr="0091310B">
                              <w:rPr>
                                <w:color w:val="FFFFFF" w:themeColor="background1"/>
                              </w:rPr>
                              <w:t>Transition from subacute pain (6 &lt; 12 weeks) to chronic pain ((≥ 12 weeks)</w:t>
                            </w:r>
                          </w:p>
                          <w:p w14:paraId="1B374C0F" w14:textId="04245AF5" w:rsidR="00951A45" w:rsidRPr="0091310B" w:rsidRDefault="00951A45" w:rsidP="002805C3">
                            <w:pPr>
                              <w:pStyle w:val="Bullet"/>
                              <w:rPr>
                                <w:color w:val="FFFFFF" w:themeColor="background1"/>
                              </w:rPr>
                            </w:pPr>
                            <w:r w:rsidRPr="0091310B">
                              <w:rPr>
                                <w:color w:val="FFFFFF" w:themeColor="background1"/>
                              </w:rPr>
                              <w:t>Risk level and related intervals for pain visits (high risk, at least quarterly</w:t>
                            </w:r>
                            <w:r>
                              <w:rPr>
                                <w:color w:val="FFFFFF" w:themeColor="background1"/>
                              </w:rPr>
                              <w:t xml:space="preserve">; </w:t>
                            </w:r>
                            <w:r w:rsidRPr="0091310B">
                              <w:rPr>
                                <w:color w:val="FFFFFF" w:themeColor="background1"/>
                              </w:rPr>
                              <w:t>moderate risk, at least semiannually; low-risk, at least annually)</w:t>
                            </w:r>
                          </w:p>
                          <w:p w14:paraId="336D9AC4" w14:textId="22BF75FB" w:rsidR="00951A45" w:rsidRPr="0091310B" w:rsidRDefault="00951A45" w:rsidP="002805C3">
                            <w:pPr>
                              <w:pStyle w:val="Bullet"/>
                              <w:rPr>
                                <w:color w:val="FFFFFF" w:themeColor="background1"/>
                              </w:rPr>
                            </w:pPr>
                            <w:r w:rsidRPr="0091310B">
                              <w:rPr>
                                <w:color w:val="FFFFFF" w:themeColor="background1"/>
                              </w:rPr>
                              <w:t>Diagnosis</w:t>
                            </w:r>
                            <w:r>
                              <w:rPr>
                                <w:color w:val="FFFFFF" w:themeColor="background1"/>
                              </w:rPr>
                              <w:t xml:space="preserve"> for chronic pain</w:t>
                            </w:r>
                          </w:p>
                          <w:p w14:paraId="0ED71757" w14:textId="4A91761A" w:rsidR="00951A45" w:rsidRPr="0091310B" w:rsidRDefault="00951A45" w:rsidP="002805C3">
                            <w:pPr>
                              <w:pStyle w:val="Bullet"/>
                              <w:rPr>
                                <w:color w:val="FFFFFF" w:themeColor="background1"/>
                              </w:rPr>
                            </w:pPr>
                            <w:r w:rsidRPr="0091310B">
                              <w:rPr>
                                <w:color w:val="FFFFFF" w:themeColor="background1"/>
                              </w:rPr>
                              <w:t xml:space="preserve">Plan for treatment (e.g., physical therapy, </w:t>
                            </w:r>
                            <w:r>
                              <w:rPr>
                                <w:color w:val="FFFFFF" w:themeColor="background1"/>
                              </w:rPr>
                              <w:t xml:space="preserve">non-opioid medications, </w:t>
                            </w:r>
                            <w:r w:rsidRPr="0091310B">
                              <w:rPr>
                                <w:color w:val="FFFFFF" w:themeColor="background1"/>
                              </w:rPr>
                              <w:t>opioid medication)</w:t>
                            </w:r>
                          </w:p>
                          <w:p w14:paraId="6CA718AE" w14:textId="1E32BE71" w:rsidR="00951A45" w:rsidRPr="0091310B" w:rsidRDefault="00951A45" w:rsidP="002805C3">
                            <w:pPr>
                              <w:pStyle w:val="Bullet"/>
                              <w:rPr>
                                <w:color w:val="FFFFFF" w:themeColor="background1"/>
                              </w:rPr>
                            </w:pPr>
                            <w:r w:rsidRPr="0091310B">
                              <w:rPr>
                                <w:color w:val="FFFFFF" w:themeColor="background1"/>
                              </w:rPr>
                              <w:t>Why the patient’s le</w:t>
                            </w:r>
                            <w:r>
                              <w:rPr>
                                <w:color w:val="FFFFFF" w:themeColor="background1"/>
                              </w:rPr>
                              <w:t>vel of function or</w:t>
                            </w:r>
                            <w:r w:rsidRPr="0091310B">
                              <w:rPr>
                                <w:color w:val="FFFFFF" w:themeColor="background1"/>
                              </w:rPr>
                              <w:t xml:space="preserve"> pain control justifies a continuation of opioids</w:t>
                            </w:r>
                          </w:p>
                          <w:p w14:paraId="616AAE44" w14:textId="77777777" w:rsidR="00951A45" w:rsidRPr="0091310B" w:rsidRDefault="00951A45" w:rsidP="002805C3">
                            <w:pPr>
                              <w:pStyle w:val="Bullet"/>
                              <w:rPr>
                                <w:color w:val="FFFFFF" w:themeColor="background1"/>
                              </w:rPr>
                            </w:pPr>
                            <w:r w:rsidRPr="0091310B">
                              <w:rPr>
                                <w:color w:val="FFFFFF" w:themeColor="background1"/>
                              </w:rPr>
                              <w:t>That you educated the patient about risks, storage, and safe disposal</w:t>
                            </w:r>
                          </w:p>
                          <w:p w14:paraId="0A7B2D1D" w14:textId="1126DB38" w:rsidR="00951A45" w:rsidRPr="0091310B" w:rsidRDefault="00951A45" w:rsidP="002805C3">
                            <w:pPr>
                              <w:pStyle w:val="Bullet"/>
                              <w:rPr>
                                <w:color w:val="FFFFFF" w:themeColor="background1"/>
                              </w:rPr>
                            </w:pPr>
                            <w:r>
                              <w:rPr>
                                <w:color w:val="FFFFFF" w:themeColor="background1"/>
                              </w:rPr>
                              <w:t>Patient agreement signed</w:t>
                            </w:r>
                          </w:p>
                          <w:p w14:paraId="01FB5293" w14:textId="56429C80" w:rsidR="00951A45" w:rsidRDefault="00951A45" w:rsidP="002805C3">
                            <w:pPr>
                              <w:pStyle w:val="Bullet"/>
                              <w:rPr>
                                <w:color w:val="FFFFFF" w:themeColor="background1"/>
                              </w:rPr>
                            </w:pPr>
                            <w:r w:rsidRPr="007E3F93">
                              <w:rPr>
                                <w:color w:val="FFFFFF" w:themeColor="background1"/>
                              </w:rPr>
                              <w:t>Concerns identified through checking the PDMP.</w:t>
                            </w:r>
                          </w:p>
                          <w:p w14:paraId="5FCA435B" w14:textId="77777777" w:rsidR="00951A45" w:rsidRDefault="00951A45" w:rsidP="002805C3">
                            <w:pPr>
                              <w:pStyle w:val="Bullet"/>
                              <w:rPr>
                                <w:color w:val="FFFFFF" w:themeColor="background1"/>
                              </w:rPr>
                            </w:pPr>
                            <w:r w:rsidRPr="0091310B">
                              <w:rPr>
                                <w:color w:val="FFFFFF" w:themeColor="background1"/>
                              </w:rPr>
                              <w:t>Justification for</w:t>
                            </w:r>
                            <w:r>
                              <w:rPr>
                                <w:color w:val="FFFFFF" w:themeColor="background1"/>
                              </w:rPr>
                              <w:t>:</w:t>
                            </w:r>
                          </w:p>
                          <w:p w14:paraId="54AC45A3" w14:textId="01C220D4" w:rsidR="00951A45" w:rsidRPr="0091310B" w:rsidRDefault="00951A45" w:rsidP="0091310B">
                            <w:pPr>
                              <w:pStyle w:val="Subbullet"/>
                              <w:rPr>
                                <w:color w:val="FFFFFF" w:themeColor="background1"/>
                              </w:rPr>
                            </w:pPr>
                            <w:r w:rsidRPr="0091310B">
                              <w:rPr>
                                <w:color w:val="FFFFFF" w:themeColor="background1"/>
                              </w:rPr>
                              <w:t>Co-prescribing benzodiazepines, barbiturates, sedatives, carisoprod</w:t>
                            </w:r>
                            <w:r>
                              <w:rPr>
                                <w:color w:val="FFFFFF" w:themeColor="background1"/>
                              </w:rPr>
                              <w:t>o</w:t>
                            </w:r>
                            <w:r w:rsidRPr="0091310B">
                              <w:rPr>
                                <w:color w:val="FFFFFF" w:themeColor="background1"/>
                              </w:rPr>
                              <w:t>l, or non-benzodiazepine hypnotics</w:t>
                            </w:r>
                          </w:p>
                          <w:p w14:paraId="6FF85D5F" w14:textId="68C6CFA2" w:rsidR="00951A45" w:rsidRPr="0091310B" w:rsidRDefault="00951A45" w:rsidP="0091310B">
                            <w:pPr>
                              <w:pStyle w:val="Subbullet"/>
                              <w:rPr>
                                <w:color w:val="FFFFFF" w:themeColor="background1"/>
                              </w:rPr>
                            </w:pPr>
                            <w:r w:rsidRPr="0091310B">
                              <w:rPr>
                                <w:color w:val="FFFFFF" w:themeColor="background1"/>
                              </w:rPr>
                              <w:t>An opioid dosage ≥50 MED</w:t>
                            </w:r>
                          </w:p>
                          <w:p w14:paraId="26CD642E" w14:textId="5D5B7462" w:rsidR="00951A45" w:rsidRPr="0091310B" w:rsidRDefault="00951A45" w:rsidP="0091310B">
                            <w:pPr>
                              <w:pStyle w:val="Subbullet"/>
                              <w:rPr>
                                <w:color w:val="FFFFFF" w:themeColor="background1"/>
                              </w:rPr>
                            </w:pPr>
                            <w:r w:rsidRPr="0091310B">
                              <w:rPr>
                                <w:color w:val="FFFFFF" w:themeColor="background1"/>
                              </w:rPr>
                              <w:t>Any deviation from clinic policies</w:t>
                            </w:r>
                          </w:p>
                          <w:p w14:paraId="30890224" w14:textId="77777777" w:rsidR="00951A45" w:rsidRPr="00910D70" w:rsidRDefault="00951A45" w:rsidP="002805C3">
                            <w:pPr>
                              <w:jc w:val="center"/>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0398B" id="Rounded Rectangle 9" o:spid="_x0000_s1027" style="position:absolute;left:0;text-align:left;margin-left:288.75pt;margin-top:23.35pt;width:254.5pt;height:378.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" fillcolor="#77b64e [3033]" stroked="f">
                <v:fill color2="#6eaa46 [3177]" rotate="t" colors="0 #81b861;.5 #6fb242;1 #61a235" focus="100%" type="gradient">
                  <o:fill v:ext="view" type="gradientUnscaled"/>
                </v:fill>
                <v:shadow on="t" color="black" opacity="41287f" offset="0,1.5pt"/>
                <v:textbox>
                  <w:txbxContent>
                    <w:p w14:paraId="314E12E3" w14:textId="77777777" w:rsidR="00951A45" w:rsidRPr="00AE0425" w:rsidRDefault="00951A45" w:rsidP="002805C3">
                      <w:pPr>
                        <w:jc w:val="center"/>
                        <w:rPr>
                          <w:rFonts w:ascii="Corbel" w:hAnsi="Corbel"/>
                          <w:color w:val="FFFFFF" w:themeColor="background1"/>
                          <w:u w:val="single"/>
                        </w:rPr>
                      </w:pPr>
                      <w:r w:rsidRPr="00AE0425">
                        <w:rPr>
                          <w:rFonts w:ascii="Corbel" w:hAnsi="Corbel"/>
                          <w:color w:val="FFFFFF" w:themeColor="background1"/>
                          <w:u w:val="single"/>
                        </w:rPr>
                        <w:t>What to document in the patient record</w:t>
                      </w:r>
                    </w:p>
                    <w:p w14:paraId="29095D02" w14:textId="4FDD8038" w:rsidR="00951A45" w:rsidRPr="0091310B" w:rsidRDefault="00951A45" w:rsidP="0091310B">
                      <w:pPr>
                        <w:pStyle w:val="Bullet"/>
                        <w:rPr>
                          <w:color w:val="FFFFFF" w:themeColor="background1"/>
                        </w:rPr>
                      </w:pPr>
                      <w:r w:rsidRPr="0091310B">
                        <w:rPr>
                          <w:color w:val="FFFFFF" w:themeColor="background1"/>
                        </w:rPr>
                        <w:t>Transition from subacute pain (6 &lt; 12 weeks) to chronic pain ((≥ 12 weeks)</w:t>
                      </w:r>
                    </w:p>
                    <w:p w14:paraId="1B374C0F" w14:textId="04245AF5" w:rsidR="00951A45" w:rsidRPr="0091310B" w:rsidRDefault="00951A45" w:rsidP="002805C3">
                      <w:pPr>
                        <w:pStyle w:val="Bullet"/>
                        <w:rPr>
                          <w:color w:val="FFFFFF" w:themeColor="background1"/>
                        </w:rPr>
                      </w:pPr>
                      <w:r w:rsidRPr="0091310B">
                        <w:rPr>
                          <w:color w:val="FFFFFF" w:themeColor="background1"/>
                        </w:rPr>
                        <w:t>Risk level and related intervals for pain visits (high risk, at least quarterly</w:t>
                      </w:r>
                      <w:r>
                        <w:rPr>
                          <w:color w:val="FFFFFF" w:themeColor="background1"/>
                        </w:rPr>
                        <w:t xml:space="preserve">; </w:t>
                      </w:r>
                      <w:r w:rsidRPr="0091310B">
                        <w:rPr>
                          <w:color w:val="FFFFFF" w:themeColor="background1"/>
                        </w:rPr>
                        <w:t>moderate risk, at least semiannually; low-risk, at least annually)</w:t>
                      </w:r>
                    </w:p>
                    <w:p w14:paraId="336D9AC4" w14:textId="22BF75FB" w:rsidR="00951A45" w:rsidRPr="0091310B" w:rsidRDefault="00951A45" w:rsidP="002805C3">
                      <w:pPr>
                        <w:pStyle w:val="Bullet"/>
                        <w:rPr>
                          <w:color w:val="FFFFFF" w:themeColor="background1"/>
                        </w:rPr>
                      </w:pPr>
                      <w:r w:rsidRPr="0091310B">
                        <w:rPr>
                          <w:color w:val="FFFFFF" w:themeColor="background1"/>
                        </w:rPr>
                        <w:t>Diagnosis</w:t>
                      </w:r>
                      <w:r>
                        <w:rPr>
                          <w:color w:val="FFFFFF" w:themeColor="background1"/>
                        </w:rPr>
                        <w:t xml:space="preserve"> for chronic pain</w:t>
                      </w:r>
                    </w:p>
                    <w:p w14:paraId="0ED71757" w14:textId="4A91761A" w:rsidR="00951A45" w:rsidRPr="0091310B" w:rsidRDefault="00951A45" w:rsidP="002805C3">
                      <w:pPr>
                        <w:pStyle w:val="Bullet"/>
                        <w:rPr>
                          <w:color w:val="FFFFFF" w:themeColor="background1"/>
                        </w:rPr>
                      </w:pPr>
                      <w:r w:rsidRPr="0091310B">
                        <w:rPr>
                          <w:color w:val="FFFFFF" w:themeColor="background1"/>
                        </w:rPr>
                        <w:t xml:space="preserve">Plan for treatment (e.g., physical therapy, </w:t>
                      </w:r>
                      <w:r>
                        <w:rPr>
                          <w:color w:val="FFFFFF" w:themeColor="background1"/>
                        </w:rPr>
                        <w:t xml:space="preserve">non-opioid medications, </w:t>
                      </w:r>
                      <w:r w:rsidRPr="0091310B">
                        <w:rPr>
                          <w:color w:val="FFFFFF" w:themeColor="background1"/>
                        </w:rPr>
                        <w:t>opioid medication)</w:t>
                      </w:r>
                    </w:p>
                    <w:p w14:paraId="6CA718AE" w14:textId="1E32BE71" w:rsidR="00951A45" w:rsidRPr="0091310B" w:rsidRDefault="00951A45" w:rsidP="002805C3">
                      <w:pPr>
                        <w:pStyle w:val="Bullet"/>
                        <w:rPr>
                          <w:color w:val="FFFFFF" w:themeColor="background1"/>
                        </w:rPr>
                      </w:pPr>
                      <w:r w:rsidRPr="0091310B">
                        <w:rPr>
                          <w:color w:val="FFFFFF" w:themeColor="background1"/>
                        </w:rPr>
                        <w:t>Why the patient’s le</w:t>
                      </w:r>
                      <w:r>
                        <w:rPr>
                          <w:color w:val="FFFFFF" w:themeColor="background1"/>
                        </w:rPr>
                        <w:t>vel of function or</w:t>
                      </w:r>
                      <w:r w:rsidRPr="0091310B">
                        <w:rPr>
                          <w:color w:val="FFFFFF" w:themeColor="background1"/>
                        </w:rPr>
                        <w:t xml:space="preserve"> pain control justifies a continuation of opioids</w:t>
                      </w:r>
                    </w:p>
                    <w:p w14:paraId="616AAE44" w14:textId="77777777" w:rsidR="00951A45" w:rsidRPr="0091310B" w:rsidRDefault="00951A45" w:rsidP="002805C3">
                      <w:pPr>
                        <w:pStyle w:val="Bullet"/>
                        <w:rPr>
                          <w:color w:val="FFFFFF" w:themeColor="background1"/>
                        </w:rPr>
                      </w:pPr>
                      <w:r w:rsidRPr="0091310B">
                        <w:rPr>
                          <w:color w:val="FFFFFF" w:themeColor="background1"/>
                        </w:rPr>
                        <w:t>That you educated the patient about risks, storage, and safe disposal</w:t>
                      </w:r>
                    </w:p>
                    <w:p w14:paraId="0A7B2D1D" w14:textId="1126DB38" w:rsidR="00951A45" w:rsidRPr="0091310B" w:rsidRDefault="00951A45" w:rsidP="002805C3">
                      <w:pPr>
                        <w:pStyle w:val="Bullet"/>
                        <w:rPr>
                          <w:color w:val="FFFFFF" w:themeColor="background1"/>
                        </w:rPr>
                      </w:pPr>
                      <w:r>
                        <w:rPr>
                          <w:color w:val="FFFFFF" w:themeColor="background1"/>
                        </w:rPr>
                        <w:t>Patient agreement signed</w:t>
                      </w:r>
                    </w:p>
                    <w:p w14:paraId="01FB5293" w14:textId="56429C80" w:rsidR="00951A45" w:rsidRDefault="00951A45" w:rsidP="002805C3">
                      <w:pPr>
                        <w:pStyle w:val="Bullet"/>
                        <w:rPr>
                          <w:color w:val="FFFFFF" w:themeColor="background1"/>
                        </w:rPr>
                      </w:pPr>
                      <w:r w:rsidRPr="007E3F93">
                        <w:rPr>
                          <w:color w:val="FFFFFF" w:themeColor="background1"/>
                        </w:rPr>
                        <w:t>Concerns identified through checking the PDMP.</w:t>
                      </w:r>
                    </w:p>
                    <w:p w14:paraId="5FCA435B" w14:textId="77777777" w:rsidR="00951A45" w:rsidRDefault="00951A45" w:rsidP="002805C3">
                      <w:pPr>
                        <w:pStyle w:val="Bullet"/>
                        <w:rPr>
                          <w:color w:val="FFFFFF" w:themeColor="background1"/>
                        </w:rPr>
                      </w:pPr>
                      <w:r w:rsidRPr="0091310B">
                        <w:rPr>
                          <w:color w:val="FFFFFF" w:themeColor="background1"/>
                        </w:rPr>
                        <w:t>Justification for</w:t>
                      </w:r>
                      <w:r>
                        <w:rPr>
                          <w:color w:val="FFFFFF" w:themeColor="background1"/>
                        </w:rPr>
                        <w:t>:</w:t>
                      </w:r>
                    </w:p>
                    <w:p w14:paraId="54AC45A3" w14:textId="01C220D4" w:rsidR="00951A45" w:rsidRPr="0091310B" w:rsidRDefault="00951A45" w:rsidP="0091310B">
                      <w:pPr>
                        <w:pStyle w:val="Subbullet"/>
                        <w:rPr>
                          <w:color w:val="FFFFFF" w:themeColor="background1"/>
                        </w:rPr>
                      </w:pPr>
                      <w:r w:rsidRPr="0091310B">
                        <w:rPr>
                          <w:color w:val="FFFFFF" w:themeColor="background1"/>
                        </w:rPr>
                        <w:t>Co-prescribing benzodiazepines, barbiturates, sedatives, carisoprod</w:t>
                      </w:r>
                      <w:r>
                        <w:rPr>
                          <w:color w:val="FFFFFF" w:themeColor="background1"/>
                        </w:rPr>
                        <w:t>o</w:t>
                      </w:r>
                      <w:r w:rsidRPr="0091310B">
                        <w:rPr>
                          <w:color w:val="FFFFFF" w:themeColor="background1"/>
                        </w:rPr>
                        <w:t>l, or non-benzodiazepine hypnotics</w:t>
                      </w:r>
                    </w:p>
                    <w:p w14:paraId="6FF85D5F" w14:textId="68C6CFA2" w:rsidR="00951A45" w:rsidRPr="0091310B" w:rsidRDefault="00951A45" w:rsidP="0091310B">
                      <w:pPr>
                        <w:pStyle w:val="Subbullet"/>
                        <w:rPr>
                          <w:color w:val="FFFFFF" w:themeColor="background1"/>
                        </w:rPr>
                      </w:pPr>
                      <w:r w:rsidRPr="0091310B">
                        <w:rPr>
                          <w:color w:val="FFFFFF" w:themeColor="background1"/>
                        </w:rPr>
                        <w:t>An opioid dosage ≥50 MED</w:t>
                      </w:r>
                    </w:p>
                    <w:p w14:paraId="26CD642E" w14:textId="5D5B7462" w:rsidR="00951A45" w:rsidRPr="0091310B" w:rsidRDefault="00951A45" w:rsidP="0091310B">
                      <w:pPr>
                        <w:pStyle w:val="Subbullet"/>
                        <w:rPr>
                          <w:color w:val="FFFFFF" w:themeColor="background1"/>
                        </w:rPr>
                      </w:pPr>
                      <w:r w:rsidRPr="0091310B">
                        <w:rPr>
                          <w:color w:val="FFFFFF" w:themeColor="background1"/>
                        </w:rPr>
                        <w:t>Any deviation from clinic policies</w:t>
                      </w:r>
                    </w:p>
                    <w:p w14:paraId="30890224" w14:textId="77777777" w:rsidR="00951A45" w:rsidRPr="00910D70" w:rsidRDefault="00951A45" w:rsidP="002805C3">
                      <w:pPr>
                        <w:jc w:val="center"/>
                        <w:rPr>
                          <w:color w:val="FFFFFF" w:themeColor="background1"/>
                          <w:sz w:val="18"/>
                          <w:szCs w:val="18"/>
                        </w:rPr>
                      </w:pPr>
                    </w:p>
                  </w:txbxContent>
                </v:textbox>
                <w10:wrap type="square" anchorx="margin"/>
              </v:roundrect>
            </w:pict>
          </mc:Fallback>
        </mc:AlternateContent>
      </w:r>
      <w:r w:rsidR="00802FEE">
        <w:rPr>
          <w:noProof/>
        </w:rPr>
        <mc:AlternateContent>
          <mc:Choice Requires="wps">
            <w:drawing>
              <wp:anchor distT="0" distB="0" distL="114300" distR="114300" simplePos="0" relativeHeight="251658242" behindDoc="0" locked="0" layoutInCell="1" allowOverlap="1" wp14:anchorId="4C36EB15" wp14:editId="009E331C">
                <wp:simplePos x="0" y="0"/>
                <wp:positionH relativeFrom="margin">
                  <wp:posOffset>19050</wp:posOffset>
                </wp:positionH>
                <wp:positionV relativeFrom="paragraph">
                  <wp:posOffset>346710</wp:posOffset>
                </wp:positionV>
                <wp:extent cx="3274695" cy="4086225"/>
                <wp:effectExtent l="57150" t="38100" r="59055" b="85725"/>
                <wp:wrapSquare wrapText="bothSides"/>
                <wp:docPr id="10" name="Rounded Rectangle 10"/>
                <wp:cNvGraphicFramePr/>
                <a:graphic xmlns:a="http://schemas.openxmlformats.org/drawingml/2006/main">
                  <a:graphicData uri="http://schemas.microsoft.com/office/word/2010/wordprocessingShape">
                    <wps:wsp>
                      <wps:cNvSpPr/>
                      <wps:spPr>
                        <a:xfrm>
                          <a:off x="0" y="0"/>
                          <a:ext cx="3274695" cy="408622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1323F938" w14:textId="77777777" w:rsidR="00951A45" w:rsidRPr="00AE0425" w:rsidRDefault="00951A45" w:rsidP="002805C3">
                            <w:pPr>
                              <w:jc w:val="center"/>
                              <w:rPr>
                                <w:rFonts w:ascii="Corbel" w:hAnsi="Corbel"/>
                                <w:color w:val="FFFFFF" w:themeColor="background1"/>
                                <w:u w:val="single"/>
                              </w:rPr>
                            </w:pPr>
                            <w:r w:rsidRPr="00AE0425">
                              <w:rPr>
                                <w:rFonts w:ascii="Corbel" w:hAnsi="Corbel"/>
                                <w:color w:val="FFFFFF" w:themeColor="background1"/>
                                <w:u w:val="single"/>
                              </w:rPr>
                              <w:t>General rules for opioid prescribing</w:t>
                            </w:r>
                          </w:p>
                          <w:p w14:paraId="661CA086" w14:textId="77777777" w:rsidR="00951A45" w:rsidRPr="00EE6149" w:rsidRDefault="00951A45" w:rsidP="002805C3">
                            <w:pPr>
                              <w:pStyle w:val="Bullet"/>
                              <w:rPr>
                                <w:color w:val="FFFFFF" w:themeColor="background1"/>
                              </w:rPr>
                            </w:pPr>
                            <w:r w:rsidRPr="00EE6149">
                              <w:rPr>
                                <w:color w:val="FFFFFF" w:themeColor="background1"/>
                              </w:rPr>
                              <w:t>Only prescribe opioids if</w:t>
                            </w:r>
                          </w:p>
                          <w:p w14:paraId="734723F2" w14:textId="77777777" w:rsidR="00951A45" w:rsidRPr="00EE6149" w:rsidRDefault="00951A45" w:rsidP="002805C3">
                            <w:pPr>
                              <w:pStyle w:val="Subbullet"/>
                              <w:rPr>
                                <w:color w:val="FFFFFF" w:themeColor="background1"/>
                              </w:rPr>
                            </w:pPr>
                            <w:r w:rsidRPr="00EE6149">
                              <w:rPr>
                                <w:color w:val="FFFFFF" w:themeColor="background1"/>
                              </w:rPr>
                              <w:t>The patient has a diagnosis for chronic pain that will benefit from opioid medication.</w:t>
                            </w:r>
                          </w:p>
                          <w:p w14:paraId="0B3AF101" w14:textId="77777777" w:rsidR="00951A45" w:rsidRPr="00EE6149" w:rsidRDefault="00951A45" w:rsidP="002805C3">
                            <w:pPr>
                              <w:pStyle w:val="Subbullet"/>
                              <w:rPr>
                                <w:color w:val="FFFFFF" w:themeColor="background1"/>
                              </w:rPr>
                            </w:pPr>
                            <w:r w:rsidRPr="00EE6149">
                              <w:rPr>
                                <w:color w:val="FFFFFF" w:themeColor="background1"/>
                              </w:rPr>
                              <w:t>It improves the patient’s function or pain.</w:t>
                            </w:r>
                          </w:p>
                          <w:p w14:paraId="6F3C7107" w14:textId="77777777" w:rsidR="00951A45" w:rsidRPr="0091310B" w:rsidRDefault="00951A45" w:rsidP="002805C3">
                            <w:pPr>
                              <w:pStyle w:val="Bullet"/>
                              <w:rPr>
                                <w:color w:val="FFFFFF" w:themeColor="background1"/>
                              </w:rPr>
                            </w:pPr>
                            <w:r w:rsidRPr="0091310B">
                              <w:rPr>
                                <w:color w:val="FFFFFF" w:themeColor="background1"/>
                              </w:rPr>
                              <w:t>Prescribe the lowest effective dose of immediate-release opioids. Avoid doses of ≥50 MED.</w:t>
                            </w:r>
                          </w:p>
                          <w:p w14:paraId="46FF47F6" w14:textId="3D214B33" w:rsidR="00951A45" w:rsidRPr="0091310B" w:rsidRDefault="00951A45" w:rsidP="002805C3">
                            <w:pPr>
                              <w:pStyle w:val="Bullet"/>
                              <w:rPr>
                                <w:color w:val="FFFFFF" w:themeColor="background1"/>
                              </w:rPr>
                            </w:pPr>
                            <w:r w:rsidRPr="0091310B">
                              <w:rPr>
                                <w:color w:val="FFFFFF" w:themeColor="background1"/>
                              </w:rPr>
                              <w:t>Do not prescribe opioids for non-specific axial</w:t>
                            </w:r>
                            <w:r>
                              <w:rPr>
                                <w:color w:val="FFFFFF" w:themeColor="background1"/>
                              </w:rPr>
                              <w:t xml:space="preserve"> (mechanical)</w:t>
                            </w:r>
                            <w:r w:rsidRPr="0091310B">
                              <w:rPr>
                                <w:color w:val="FFFFFF" w:themeColor="background1"/>
                              </w:rPr>
                              <w:t xml:space="preserve"> low back pain, fibromyalgia, and chronic headaches.</w:t>
                            </w:r>
                          </w:p>
                          <w:p w14:paraId="5F7C0A99" w14:textId="77777777" w:rsidR="00951A45" w:rsidRPr="00802FEE" w:rsidRDefault="00951A45" w:rsidP="00802FEE">
                            <w:pPr>
                              <w:pStyle w:val="Bullet"/>
                              <w:rPr>
                                <w:color w:val="FFFFFF" w:themeColor="background1"/>
                              </w:rPr>
                            </w:pPr>
                            <w:r w:rsidRPr="00802FEE">
                              <w:rPr>
                                <w:color w:val="FFFFFF" w:themeColor="background1"/>
                              </w:rPr>
                              <w:t>Do not refill opioid prescriptions without seeing the patient.</w:t>
                            </w:r>
                          </w:p>
                          <w:p w14:paraId="4A789131" w14:textId="77777777" w:rsidR="00951A45" w:rsidRPr="001A4965" w:rsidRDefault="00951A45" w:rsidP="002805C3">
                            <w:pPr>
                              <w:pStyle w:val="Bullet"/>
                              <w:keepNext/>
                              <w:keepLines/>
                              <w:rPr>
                                <w:color w:val="FFFFFF" w:themeColor="background1"/>
                              </w:rPr>
                            </w:pPr>
                            <w:r w:rsidRPr="0091310B">
                              <w:rPr>
                                <w:color w:val="FFFFFF" w:themeColor="background1"/>
                              </w:rPr>
                              <w:t>Do not co-prescribe opioids and the following medications without discussion of risks, consultation with the patient’s other prescribers, and consideration of tapering:</w:t>
                            </w:r>
                          </w:p>
                          <w:p w14:paraId="063EBB1B" w14:textId="1BEC4400" w:rsidR="00951A45" w:rsidRPr="00C71B7D" w:rsidRDefault="00951A45" w:rsidP="00C71B7D">
                            <w:pPr>
                              <w:pStyle w:val="Subbullet"/>
                              <w:rPr>
                                <w:color w:val="FFFFFF" w:themeColor="background1"/>
                              </w:rPr>
                            </w:pPr>
                            <w:r w:rsidRPr="00C71B7D">
                              <w:rPr>
                                <w:color w:val="FFFFFF" w:themeColor="background1"/>
                              </w:rPr>
                              <w:t>Benzodiazepines, barbiturates, sedatives, carisoprodol, non-benzodiazepine hypnotics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6EB15" id="Rounded Rectangle 10" o:spid="_x0000_s1028" style="position:absolute;left:0;text-align:left;margin-left:1.5pt;margin-top:27.3pt;width:257.85pt;height:321.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" fillcolor="#65a0d7 [3028]" stroked="f">
                <v:fill color2="#5898d4 [3172]" rotate="t" colors="0 #71a6db;.5 #559bdb;1 #438ac9" focus="100%" type="gradient">
                  <o:fill v:ext="view" type="gradientUnscaled"/>
                </v:fill>
                <v:shadow on="t" color="black" opacity="41287f" offset="0,1.5pt"/>
                <v:textbox>
                  <w:txbxContent>
                    <w:p w14:paraId="1323F938" w14:textId="77777777" w:rsidR="00951A45" w:rsidRPr="00AE0425" w:rsidRDefault="00951A45" w:rsidP="002805C3">
                      <w:pPr>
                        <w:jc w:val="center"/>
                        <w:rPr>
                          <w:rFonts w:ascii="Corbel" w:hAnsi="Corbel"/>
                          <w:color w:val="FFFFFF" w:themeColor="background1"/>
                          <w:u w:val="single"/>
                        </w:rPr>
                      </w:pPr>
                      <w:r w:rsidRPr="00AE0425">
                        <w:rPr>
                          <w:rFonts w:ascii="Corbel" w:hAnsi="Corbel"/>
                          <w:color w:val="FFFFFF" w:themeColor="background1"/>
                          <w:u w:val="single"/>
                        </w:rPr>
                        <w:t>General rules for opioid prescribing</w:t>
                      </w:r>
                    </w:p>
                    <w:p w14:paraId="661CA086" w14:textId="77777777" w:rsidR="00951A45" w:rsidRPr="00EE6149" w:rsidRDefault="00951A45" w:rsidP="002805C3">
                      <w:pPr>
                        <w:pStyle w:val="Bullet"/>
                        <w:rPr>
                          <w:color w:val="FFFFFF" w:themeColor="background1"/>
                        </w:rPr>
                      </w:pPr>
                      <w:r w:rsidRPr="00EE6149">
                        <w:rPr>
                          <w:color w:val="FFFFFF" w:themeColor="background1"/>
                        </w:rPr>
                        <w:t>Only prescribe opioids if</w:t>
                      </w:r>
                    </w:p>
                    <w:p w14:paraId="734723F2" w14:textId="77777777" w:rsidR="00951A45" w:rsidRPr="00EE6149" w:rsidRDefault="00951A45" w:rsidP="002805C3">
                      <w:pPr>
                        <w:pStyle w:val="Subbullet"/>
                        <w:rPr>
                          <w:color w:val="FFFFFF" w:themeColor="background1"/>
                        </w:rPr>
                      </w:pPr>
                      <w:r w:rsidRPr="00EE6149">
                        <w:rPr>
                          <w:color w:val="FFFFFF" w:themeColor="background1"/>
                        </w:rPr>
                        <w:t>The patient has a diagnosis for chronic pain that will benefit from opioid medication.</w:t>
                      </w:r>
                    </w:p>
                    <w:p w14:paraId="0B3AF101" w14:textId="77777777" w:rsidR="00951A45" w:rsidRPr="00EE6149" w:rsidRDefault="00951A45" w:rsidP="002805C3">
                      <w:pPr>
                        <w:pStyle w:val="Subbullet"/>
                        <w:rPr>
                          <w:color w:val="FFFFFF" w:themeColor="background1"/>
                        </w:rPr>
                      </w:pPr>
                      <w:r w:rsidRPr="00EE6149">
                        <w:rPr>
                          <w:color w:val="FFFFFF" w:themeColor="background1"/>
                        </w:rPr>
                        <w:t>It improves the patient’s function or pain.</w:t>
                      </w:r>
                    </w:p>
                    <w:p w14:paraId="6F3C7107" w14:textId="77777777" w:rsidR="00951A45" w:rsidRPr="0091310B" w:rsidRDefault="00951A45" w:rsidP="002805C3">
                      <w:pPr>
                        <w:pStyle w:val="Bullet"/>
                        <w:rPr>
                          <w:color w:val="FFFFFF" w:themeColor="background1"/>
                        </w:rPr>
                      </w:pPr>
                      <w:r w:rsidRPr="0091310B">
                        <w:rPr>
                          <w:color w:val="FFFFFF" w:themeColor="background1"/>
                        </w:rPr>
                        <w:t>Prescribe the lowest effective dose of immediate-release opioids. Avoid doses of ≥50 MED.</w:t>
                      </w:r>
                    </w:p>
                    <w:p w14:paraId="46FF47F6" w14:textId="3D214B33" w:rsidR="00951A45" w:rsidRPr="0091310B" w:rsidRDefault="00951A45" w:rsidP="002805C3">
                      <w:pPr>
                        <w:pStyle w:val="Bullet"/>
                        <w:rPr>
                          <w:color w:val="FFFFFF" w:themeColor="background1"/>
                        </w:rPr>
                      </w:pPr>
                      <w:r w:rsidRPr="0091310B">
                        <w:rPr>
                          <w:color w:val="FFFFFF" w:themeColor="background1"/>
                        </w:rPr>
                        <w:t>Do not prescribe opioids for non-specific axial</w:t>
                      </w:r>
                      <w:r>
                        <w:rPr>
                          <w:color w:val="FFFFFF" w:themeColor="background1"/>
                        </w:rPr>
                        <w:t xml:space="preserve"> (mechanical)</w:t>
                      </w:r>
                      <w:r w:rsidRPr="0091310B">
                        <w:rPr>
                          <w:color w:val="FFFFFF" w:themeColor="background1"/>
                        </w:rPr>
                        <w:t xml:space="preserve"> low back pain, fibromyalgia, and chronic headaches.</w:t>
                      </w:r>
                    </w:p>
                    <w:p w14:paraId="5F7C0A99" w14:textId="77777777" w:rsidR="00951A45" w:rsidRPr="00802FEE" w:rsidRDefault="00951A45" w:rsidP="00802FEE">
                      <w:pPr>
                        <w:pStyle w:val="Bullet"/>
                        <w:rPr>
                          <w:color w:val="FFFFFF" w:themeColor="background1"/>
                        </w:rPr>
                      </w:pPr>
                      <w:r w:rsidRPr="00802FEE">
                        <w:rPr>
                          <w:color w:val="FFFFFF" w:themeColor="background1"/>
                        </w:rPr>
                        <w:t>Do not refill opioid prescriptions without seeing the patient.</w:t>
                      </w:r>
                    </w:p>
                    <w:p w14:paraId="4A789131" w14:textId="77777777" w:rsidR="00951A45" w:rsidRPr="001A4965" w:rsidRDefault="00951A45" w:rsidP="002805C3">
                      <w:pPr>
                        <w:pStyle w:val="Bullet"/>
                        <w:keepNext/>
                        <w:keepLines/>
                        <w:rPr>
                          <w:color w:val="FFFFFF" w:themeColor="background1"/>
                        </w:rPr>
                      </w:pPr>
                      <w:r w:rsidRPr="0091310B">
                        <w:rPr>
                          <w:color w:val="FFFFFF" w:themeColor="background1"/>
                        </w:rPr>
                        <w:t>Do not co-prescribe opioids and the following medications without discussion of risks, consultation with the patient’s other prescribers, and consideration of tapering:</w:t>
                      </w:r>
                    </w:p>
                    <w:p w14:paraId="063EBB1B" w14:textId="1BEC4400" w:rsidR="00951A45" w:rsidRPr="00C71B7D" w:rsidRDefault="00951A45" w:rsidP="00C71B7D">
                      <w:pPr>
                        <w:pStyle w:val="Subbullet"/>
                        <w:rPr>
                          <w:color w:val="FFFFFF" w:themeColor="background1"/>
                        </w:rPr>
                      </w:pPr>
                      <w:r w:rsidRPr="00C71B7D">
                        <w:rPr>
                          <w:color w:val="FFFFFF" w:themeColor="background1"/>
                        </w:rPr>
                        <w:t>Benzodiazepines, barbiturates, sedatives, carisoprodol, non-benzodiazepine hypnotics</w:t>
                      </w:r>
                    </w:p>
                  </w:txbxContent>
                </v:textbox>
                <w10:wrap type="square" anchorx="margin"/>
              </v:roundrect>
            </w:pict>
          </mc:Fallback>
        </mc:AlternateContent>
      </w:r>
      <w:r w:rsidR="006D1348">
        <w:t>Be aware that unrecognized depression, anxiety and PTSD may be uncovered during a taper.</w:t>
      </w:r>
    </w:p>
    <w:p w14:paraId="20C14E7F" w14:textId="6F7CB7BA" w:rsidR="004A6F77" w:rsidRPr="006D1348" w:rsidRDefault="004A6F77" w:rsidP="00802FEE">
      <w:pPr>
        <w:pStyle w:val="BodyText"/>
        <w:rPr>
          <w:rFonts w:eastAsiaTheme="majorEastAsia" w:cstheme="majorBidi"/>
          <w:bCs/>
          <w:color w:val="000000" w:themeColor="text1"/>
          <w:sz w:val="32"/>
          <w:szCs w:val="52"/>
        </w:rPr>
      </w:pPr>
    </w:p>
    <w:p w14:paraId="70297D4F" w14:textId="154EF00A" w:rsidR="00B546DC" w:rsidRDefault="00B546DC">
      <w:pPr>
        <w:rPr>
          <w:rFonts w:ascii="Corbel" w:eastAsiaTheme="majorEastAsia" w:hAnsi="Corbel" w:cstheme="majorBidi"/>
          <w:bCs/>
          <w:color w:val="000000" w:themeColor="text1"/>
          <w:sz w:val="32"/>
          <w:szCs w:val="52"/>
        </w:rPr>
      </w:pPr>
      <w:r>
        <w:br w:type="page"/>
      </w:r>
    </w:p>
    <w:p w14:paraId="516D9CE9" w14:textId="624DD2FA" w:rsidR="00BC1297" w:rsidRDefault="00BC1297" w:rsidP="00CC2C3B">
      <w:pPr>
        <w:pStyle w:val="Heading2"/>
        <w:shd w:val="clear" w:color="auto" w:fill="FFF2CC" w:themeFill="accent4" w:themeFillTint="33"/>
      </w:pPr>
      <w:bookmarkStart w:id="13" w:name="_Section_3"/>
      <w:bookmarkEnd w:id="13"/>
      <w:r>
        <w:t>Section 3</w:t>
      </w:r>
    </w:p>
    <w:p w14:paraId="722ACEF6" w14:textId="645A4C1B" w:rsidR="00DD07C3" w:rsidRDefault="00BB2FB6" w:rsidP="00CC2C3B">
      <w:pPr>
        <w:pStyle w:val="Subtitle"/>
        <w:shd w:val="clear" w:color="auto" w:fill="FFF2CC" w:themeFill="accent4" w:themeFillTint="33"/>
        <w:rPr>
          <w:rStyle w:val="Hyperlink"/>
        </w:rPr>
      </w:pPr>
      <w:r>
        <w:t xml:space="preserve">Patients new to </w:t>
      </w:r>
      <w:r w:rsidR="00E74CDF">
        <w:t>a</w:t>
      </w:r>
      <w:r>
        <w:t xml:space="preserve"> panel who are </w:t>
      </w:r>
      <w:hyperlink r:id="rId32" w:history="1">
        <w:r w:rsidRPr="0039564A">
          <w:rPr>
            <w:rStyle w:val="Hyperlink"/>
          </w:rPr>
          <w:t>a</w:t>
        </w:r>
        <w:r w:rsidR="006061D7" w:rsidRPr="0039564A">
          <w:rPr>
            <w:rStyle w:val="Hyperlink"/>
          </w:rPr>
          <w:t xml:space="preserve">lready on </w:t>
        </w:r>
        <w:r w:rsidR="004A7A2C" w:rsidRPr="0039564A">
          <w:rPr>
            <w:rStyle w:val="Hyperlink"/>
          </w:rPr>
          <w:t xml:space="preserve">long-term </w:t>
        </w:r>
        <w:r w:rsidR="006061D7" w:rsidRPr="0039564A">
          <w:rPr>
            <w:rStyle w:val="Hyperlink"/>
          </w:rPr>
          <w:t>opioid therapy</w:t>
        </w:r>
        <w:bookmarkEnd w:id="11"/>
        <w:bookmarkEnd w:id="12"/>
      </w:hyperlink>
    </w:p>
    <w:p w14:paraId="56262ED6" w14:textId="791863B9" w:rsidR="009D1B68" w:rsidRDefault="00EC6F79" w:rsidP="00EC6F79">
      <w:pPr>
        <w:pStyle w:val="BodyText"/>
      </w:pPr>
      <w:r>
        <w:t xml:space="preserve">This section discusses </w:t>
      </w:r>
      <w:r w:rsidR="00EC466B">
        <w:t xml:space="preserve">guideline-consistent </w:t>
      </w:r>
      <w:r>
        <w:t>care processes during the first 3 months after a patient already on long-term opioid therapy transfers to a new clinician. This could be a patient inherited after a clinician leaves the practice, or a patient new to the area. Whatever the circumstances, w</w:t>
      </w:r>
      <w:r w:rsidR="009D1B68">
        <w:t>e encourage providers to accept patients already on long-term opioid therapy. These patients are at risk if left without evidence-based care.</w:t>
      </w:r>
    </w:p>
    <w:p w14:paraId="20342B9E" w14:textId="061F84D3" w:rsidR="009D1B68" w:rsidRDefault="00AD6813" w:rsidP="00EC6F79">
      <w:pPr>
        <w:pStyle w:val="BodyText"/>
      </w:pPr>
      <w:r>
        <w:t xml:space="preserve">When a patient already on long-term opioid therapy comes to you for </w:t>
      </w:r>
      <w:r w:rsidR="00232217">
        <w:t>care</w:t>
      </w:r>
      <w:r>
        <w:t>, conduct the following assessments</w:t>
      </w:r>
      <w:r w:rsidR="00EE6149">
        <w:t xml:space="preserve"> as soon as possible, but always within 3 months</w:t>
      </w:r>
      <w:r w:rsidR="00231834">
        <w:t>.</w:t>
      </w:r>
    </w:p>
    <w:tbl>
      <w:tblPr>
        <w:tblStyle w:val="GridTable4-Accent11"/>
        <w:tblW w:w="10903" w:type="dxa"/>
        <w:tblLook w:val="04A0" w:firstRow="1" w:lastRow="0" w:firstColumn="1" w:lastColumn="0" w:noHBand="0" w:noVBand="1"/>
      </w:tblPr>
      <w:tblGrid>
        <w:gridCol w:w="5125"/>
        <w:gridCol w:w="5778"/>
      </w:tblGrid>
      <w:tr w:rsidR="009D1B68" w:rsidRPr="00192880" w14:paraId="325D22D2" w14:textId="77777777" w:rsidTr="00B546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0C7A10F6" w14:textId="77777777" w:rsidR="009D1B68" w:rsidRPr="00192880" w:rsidRDefault="009D1B68" w:rsidP="004F32B0">
            <w:pPr>
              <w:pStyle w:val="Tableheader"/>
              <w:rPr>
                <w:sz w:val="18"/>
                <w:szCs w:val="18"/>
              </w:rPr>
            </w:pPr>
            <w:r w:rsidRPr="00192880">
              <w:rPr>
                <w:sz w:val="18"/>
                <w:szCs w:val="18"/>
              </w:rPr>
              <w:t>What you are assessing</w:t>
            </w:r>
          </w:p>
        </w:tc>
        <w:tc>
          <w:tcPr>
            <w:tcW w:w="5778" w:type="dxa"/>
          </w:tcPr>
          <w:p w14:paraId="41E96890" w14:textId="77777777" w:rsidR="009D1B68" w:rsidRPr="00192880" w:rsidRDefault="009D1B68" w:rsidP="004F32B0">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192880">
              <w:rPr>
                <w:sz w:val="18"/>
                <w:szCs w:val="18"/>
              </w:rPr>
              <w:t>How to assess</w:t>
            </w:r>
          </w:p>
        </w:tc>
      </w:tr>
      <w:tr w:rsidR="009D1B68" w:rsidRPr="00192880" w14:paraId="4789EE0C"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3A0DA935" w14:textId="77777777" w:rsidR="009D1B68" w:rsidRPr="00192880" w:rsidRDefault="009D1B68" w:rsidP="004F32B0">
            <w:pPr>
              <w:pStyle w:val="TableParagraph"/>
              <w:rPr>
                <w:szCs w:val="18"/>
              </w:rPr>
            </w:pPr>
            <w:r w:rsidRPr="00192880">
              <w:rPr>
                <w:szCs w:val="18"/>
              </w:rPr>
              <w:t>Care history</w:t>
            </w:r>
          </w:p>
        </w:tc>
        <w:tc>
          <w:tcPr>
            <w:tcW w:w="5778" w:type="dxa"/>
          </w:tcPr>
          <w:p w14:paraId="392124B4" w14:textId="55B2C957" w:rsidR="009D1B68" w:rsidRPr="00192880" w:rsidRDefault="00014522" w:rsidP="004F32B0">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92880">
              <w:rPr>
                <w:szCs w:val="18"/>
              </w:rPr>
              <w:t xml:space="preserve">Obtain past medical records and ask </w:t>
            </w:r>
            <w:r w:rsidR="009D1B68" w:rsidRPr="00192880">
              <w:rPr>
                <w:szCs w:val="18"/>
              </w:rPr>
              <w:t>why the patient terminated care with the last clinician</w:t>
            </w:r>
            <w:r w:rsidRPr="00192880">
              <w:rPr>
                <w:szCs w:val="18"/>
              </w:rPr>
              <w:t>.</w:t>
            </w:r>
          </w:p>
        </w:tc>
      </w:tr>
      <w:tr w:rsidR="007F1D32" w:rsidRPr="00192880" w14:paraId="7E465A33"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545B46B3" w14:textId="77777777" w:rsidR="007F1D32" w:rsidRPr="00192880" w:rsidRDefault="007F1D32" w:rsidP="007F1D32">
            <w:pPr>
              <w:pStyle w:val="TableParagraph"/>
              <w:rPr>
                <w:b w:val="0"/>
                <w:bCs w:val="0"/>
                <w:szCs w:val="18"/>
              </w:rPr>
            </w:pPr>
            <w:r w:rsidRPr="00192880">
              <w:rPr>
                <w:szCs w:val="18"/>
              </w:rPr>
              <w:t>Specific diagnosis for pain</w:t>
            </w:r>
          </w:p>
          <w:p w14:paraId="117E2857" w14:textId="4CB415B2" w:rsidR="00BD7B9D" w:rsidRPr="00192880" w:rsidRDefault="00BD7B9D" w:rsidP="007F1D32">
            <w:pPr>
              <w:pStyle w:val="TableParagraph"/>
              <w:rPr>
                <w:szCs w:val="18"/>
              </w:rPr>
            </w:pPr>
            <w:r w:rsidRPr="00192880">
              <w:rPr>
                <w:b w:val="0"/>
                <w:szCs w:val="18"/>
              </w:rPr>
              <w:t>Check that the patient has a diagnosis for their pain that will benefit from opioid medication.</w:t>
            </w:r>
          </w:p>
        </w:tc>
        <w:tc>
          <w:tcPr>
            <w:tcW w:w="5778" w:type="dxa"/>
          </w:tcPr>
          <w:p w14:paraId="2FDE4D40" w14:textId="6A683851" w:rsidR="007F1D32" w:rsidRPr="00192880" w:rsidRDefault="007F1D32" w:rsidP="007F1D32">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92880">
              <w:rPr>
                <w:szCs w:val="18"/>
              </w:rPr>
              <w:t>Based on history, physical examination, and testing (e.g., labs, imaging, as indicated).</w:t>
            </w:r>
          </w:p>
        </w:tc>
      </w:tr>
      <w:tr w:rsidR="00CC7E67" w:rsidRPr="00192880" w14:paraId="1A379AE2"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6BFF6171" w14:textId="1F2070DC" w:rsidR="00CC7E67" w:rsidRPr="00192880" w:rsidRDefault="00CC7E67" w:rsidP="00CC7E67">
            <w:pPr>
              <w:pStyle w:val="TableParagraph"/>
              <w:rPr>
                <w:szCs w:val="18"/>
              </w:rPr>
            </w:pPr>
            <w:r w:rsidRPr="00192880">
              <w:rPr>
                <w:szCs w:val="18"/>
              </w:rPr>
              <w:t xml:space="preserve">Progress meeting functional goals </w:t>
            </w:r>
          </w:p>
        </w:tc>
        <w:tc>
          <w:tcPr>
            <w:tcW w:w="5778" w:type="dxa"/>
          </w:tcPr>
          <w:p w14:paraId="3F4A2343" w14:textId="37B6B308" w:rsidR="00CC7E67" w:rsidRPr="00192880" w:rsidRDefault="00ED04EF" w:rsidP="00CC7E67">
            <w:pPr>
              <w:pStyle w:val="TableParagraph"/>
              <w:cnfStyle w:val="000000100000" w:firstRow="0" w:lastRow="0" w:firstColumn="0" w:lastColumn="0" w:oddVBand="0" w:evenVBand="0" w:oddHBand="1" w:evenHBand="0" w:firstRowFirstColumn="0" w:firstRowLastColumn="0" w:lastRowFirstColumn="0" w:lastRowLastColumn="0"/>
              <w:rPr>
                <w:szCs w:val="18"/>
              </w:rPr>
            </w:pPr>
            <w:hyperlink r:id="rId33" w:history="1">
              <w:r w:rsidR="00CC7E67" w:rsidRPr="00192880">
                <w:rPr>
                  <w:rStyle w:val="Hyperlink"/>
                  <w:szCs w:val="18"/>
                </w:rPr>
                <w:t>PEG</w:t>
              </w:r>
            </w:hyperlink>
            <w:r w:rsidR="00CC7E67" w:rsidRPr="00192880">
              <w:rPr>
                <w:szCs w:val="18"/>
              </w:rPr>
              <w:t xml:space="preserve">, documented </w:t>
            </w:r>
            <w:hyperlink r:id="rId34" w:history="1">
              <w:r w:rsidR="00CC7E67" w:rsidRPr="00192880">
                <w:rPr>
                  <w:rStyle w:val="Hyperlink"/>
                  <w:szCs w:val="18"/>
                </w:rPr>
                <w:t>patient-set goals</w:t>
              </w:r>
            </w:hyperlink>
            <w:r w:rsidR="00CC7E67" w:rsidRPr="00192880">
              <w:rPr>
                <w:szCs w:val="18"/>
              </w:rPr>
              <w:t xml:space="preserve"> (e.g., walk to the park), reports by family (though not always reliable, can be useful), evidence of performing job or life role function</w:t>
            </w:r>
          </w:p>
        </w:tc>
      </w:tr>
      <w:tr w:rsidR="00192880" w:rsidRPr="00192880" w14:paraId="196623C7"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623D85E6" w14:textId="3A1A6B1B" w:rsidR="00192880" w:rsidRPr="00192880" w:rsidRDefault="00192880" w:rsidP="00192880">
            <w:pPr>
              <w:pStyle w:val="TableParagraph"/>
              <w:rPr>
                <w:szCs w:val="18"/>
              </w:rPr>
            </w:pPr>
            <w:r w:rsidRPr="00192880">
              <w:rPr>
                <w:szCs w:val="18"/>
              </w:rPr>
              <w:t>Potential benefits of non-opioid therapies</w:t>
            </w:r>
          </w:p>
        </w:tc>
        <w:tc>
          <w:tcPr>
            <w:tcW w:w="5778" w:type="dxa"/>
          </w:tcPr>
          <w:p w14:paraId="4C37F2B0" w14:textId="4643489E" w:rsidR="00192880" w:rsidRPr="00192880" w:rsidRDefault="00192880" w:rsidP="00192880">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92880">
              <w:rPr>
                <w:szCs w:val="18"/>
              </w:rPr>
              <w:t xml:space="preserve">Diagnosis, history, patient’s perspective, evidence (See </w:t>
            </w:r>
            <w:hyperlink r:id="rId35" w:history="1">
              <w:r w:rsidRPr="00192880">
                <w:rPr>
                  <w:rStyle w:val="Hyperlink"/>
                  <w:szCs w:val="18"/>
                </w:rPr>
                <w:t>integrative medicine table</w:t>
              </w:r>
            </w:hyperlink>
            <w:r w:rsidRPr="00192880">
              <w:rPr>
                <w:szCs w:val="18"/>
              </w:rPr>
              <w:t xml:space="preserve"> and </w:t>
            </w:r>
            <w:hyperlink r:id="rId36" w:history="1">
              <w:r w:rsidRPr="00192880">
                <w:rPr>
                  <w:rStyle w:val="Hyperlink"/>
                  <w:szCs w:val="18"/>
                </w:rPr>
                <w:t>"Nonopioid Treatments for Chronic Pain”</w:t>
              </w:r>
            </w:hyperlink>
            <w:r w:rsidRPr="00192880">
              <w:rPr>
                <w:rStyle w:val="Hyperlink"/>
                <w:szCs w:val="18"/>
              </w:rPr>
              <w:t xml:space="preserve"> </w:t>
            </w:r>
          </w:p>
        </w:tc>
      </w:tr>
      <w:tr w:rsidR="007F1D32" w:rsidRPr="00192880" w14:paraId="7224668F"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7E775AF6" w14:textId="2377F732" w:rsidR="007F1D32" w:rsidRPr="00192880" w:rsidRDefault="007F1D32" w:rsidP="007F1D32">
            <w:pPr>
              <w:pStyle w:val="TableParagraph"/>
              <w:rPr>
                <w:szCs w:val="18"/>
              </w:rPr>
            </w:pPr>
            <w:r w:rsidRPr="00192880">
              <w:rPr>
                <w:szCs w:val="18"/>
              </w:rPr>
              <w:t xml:space="preserve">Risk </w:t>
            </w:r>
          </w:p>
        </w:tc>
        <w:tc>
          <w:tcPr>
            <w:tcW w:w="5778" w:type="dxa"/>
          </w:tcPr>
          <w:p w14:paraId="2891701C" w14:textId="6B6180CE" w:rsidR="007F1D32" w:rsidRPr="00192880" w:rsidRDefault="007F1D32" w:rsidP="007F1D32">
            <w:pPr>
              <w:pStyle w:val="Bullet"/>
              <w:cnfStyle w:val="000000100000" w:firstRow="0" w:lastRow="0" w:firstColumn="0" w:lastColumn="0" w:oddVBand="0" w:evenVBand="0" w:oddHBand="1" w:evenHBand="0" w:firstRowFirstColumn="0" w:firstRowLastColumn="0" w:lastRowFirstColumn="0" w:lastRowLastColumn="0"/>
              <w:rPr>
                <w:sz w:val="18"/>
                <w:szCs w:val="18"/>
              </w:rPr>
            </w:pPr>
            <w:r w:rsidRPr="00192880">
              <w:rPr>
                <w:b/>
                <w:sz w:val="18"/>
                <w:szCs w:val="18"/>
              </w:rPr>
              <w:t>Assess risk of opioid-induced morbidity or mortality</w:t>
            </w:r>
            <w:r w:rsidRPr="00192880">
              <w:rPr>
                <w:sz w:val="18"/>
                <w:szCs w:val="18"/>
              </w:rPr>
              <w:t xml:space="preserve"> based on factors and combinations of factors such as </w:t>
            </w:r>
            <w:hyperlink w:anchor="_Medical_and_behavioral" w:history="1">
              <w:r w:rsidRPr="00192880">
                <w:rPr>
                  <w:rStyle w:val="Hyperlink"/>
                  <w:sz w:val="18"/>
                  <w:szCs w:val="18"/>
                </w:rPr>
                <w:t>medical and behavioral comorbidities</w:t>
              </w:r>
            </w:hyperlink>
            <w:r w:rsidRPr="00192880">
              <w:rPr>
                <w:sz w:val="18"/>
                <w:szCs w:val="18"/>
              </w:rPr>
              <w:t xml:space="preserve">, polypharmacy, current </w:t>
            </w:r>
            <w:hyperlink w:anchor="_Substance_use_disorder" w:history="1">
              <w:r w:rsidRPr="00192880">
                <w:rPr>
                  <w:rStyle w:val="Hyperlink"/>
                  <w:sz w:val="18"/>
                  <w:szCs w:val="18"/>
                </w:rPr>
                <w:t>substance use disorder or abuse</w:t>
              </w:r>
            </w:hyperlink>
            <w:r w:rsidRPr="00192880">
              <w:rPr>
                <w:sz w:val="18"/>
                <w:szCs w:val="18"/>
              </w:rPr>
              <w:t xml:space="preserve">, </w:t>
            </w:r>
            <w:hyperlink w:anchor="_Aberrant_Behaviors" w:history="1">
              <w:r w:rsidRPr="00192880">
                <w:rPr>
                  <w:rStyle w:val="Hyperlink"/>
                  <w:sz w:val="18"/>
                  <w:szCs w:val="18"/>
                </w:rPr>
                <w:t>aberrant behavior</w:t>
              </w:r>
            </w:hyperlink>
            <w:r w:rsidRPr="00192880">
              <w:rPr>
                <w:sz w:val="18"/>
                <w:szCs w:val="18"/>
              </w:rPr>
              <w:t xml:space="preserve">, </w:t>
            </w:r>
            <w:hyperlink w:anchor="_Dose_of_opioids" w:history="1">
              <w:r w:rsidRPr="00192880">
                <w:rPr>
                  <w:rStyle w:val="Hyperlink"/>
                  <w:sz w:val="18"/>
                  <w:szCs w:val="18"/>
                </w:rPr>
                <w:t>dose of opioids</w:t>
              </w:r>
            </w:hyperlink>
            <w:r w:rsidRPr="00192880">
              <w:rPr>
                <w:sz w:val="18"/>
                <w:szCs w:val="18"/>
              </w:rPr>
              <w:t xml:space="preserve">, or the use of </w:t>
            </w:r>
            <w:hyperlink w:anchor="_Use_of_any" w:history="1">
              <w:r w:rsidRPr="00192880">
                <w:rPr>
                  <w:rStyle w:val="Hyperlink"/>
                  <w:sz w:val="18"/>
                  <w:szCs w:val="18"/>
                </w:rPr>
                <w:t xml:space="preserve">any concurrent </w:t>
              </w:r>
              <w:r w:rsidR="002C0CB3">
                <w:rPr>
                  <w:rStyle w:val="Hyperlink"/>
                  <w:sz w:val="18"/>
                  <w:szCs w:val="18"/>
                </w:rPr>
                <w:t>sedatives</w:t>
              </w:r>
            </w:hyperlink>
            <w:r w:rsidRPr="00192880">
              <w:rPr>
                <w:sz w:val="18"/>
                <w:szCs w:val="18"/>
              </w:rPr>
              <w:t>. Any patient using &gt;90 MED per day is considered high risk.</w:t>
            </w:r>
          </w:p>
          <w:p w14:paraId="6E869C17" w14:textId="44B91BE6" w:rsidR="007F1D32" w:rsidRPr="00192880" w:rsidRDefault="007F1D32" w:rsidP="007F1D32">
            <w:pPr>
              <w:pStyle w:val="Bullet"/>
              <w:cnfStyle w:val="000000100000" w:firstRow="0" w:lastRow="0" w:firstColumn="0" w:lastColumn="0" w:oddVBand="0" w:evenVBand="0" w:oddHBand="1" w:evenHBand="0" w:firstRowFirstColumn="0" w:firstRowLastColumn="0" w:lastRowFirstColumn="0" w:lastRowLastColumn="0"/>
              <w:rPr>
                <w:sz w:val="18"/>
                <w:szCs w:val="18"/>
              </w:rPr>
            </w:pPr>
            <w:r w:rsidRPr="00192880">
              <w:rPr>
                <w:b/>
                <w:sz w:val="18"/>
                <w:szCs w:val="18"/>
              </w:rPr>
              <w:t>Assess risk of overdose</w:t>
            </w:r>
            <w:r w:rsidRPr="00192880">
              <w:rPr>
                <w:sz w:val="18"/>
                <w:szCs w:val="18"/>
              </w:rPr>
              <w:t xml:space="preserve"> based on history of overdose, </w:t>
            </w:r>
            <w:hyperlink w:anchor="_Substance_use_disorder_1" w:history="1">
              <w:r w:rsidRPr="00192880">
                <w:rPr>
                  <w:rStyle w:val="Hyperlink"/>
                  <w:sz w:val="18"/>
                  <w:szCs w:val="18"/>
                </w:rPr>
                <w:t>substance use disorder or abuse</w:t>
              </w:r>
            </w:hyperlink>
            <w:r w:rsidRPr="00192880">
              <w:rPr>
                <w:sz w:val="18"/>
                <w:szCs w:val="18"/>
              </w:rPr>
              <w:t xml:space="preserve">, sleep apnea, chronic lung disease, and use of any concurrent </w:t>
            </w:r>
            <w:r w:rsidR="002C0CB3">
              <w:rPr>
                <w:sz w:val="18"/>
                <w:szCs w:val="18"/>
              </w:rPr>
              <w:t>sedatives</w:t>
            </w:r>
            <w:r w:rsidRPr="00192880">
              <w:rPr>
                <w:sz w:val="18"/>
                <w:szCs w:val="18"/>
              </w:rPr>
              <w:t xml:space="preserve">. </w:t>
            </w:r>
          </w:p>
          <w:p w14:paraId="43E98F1F" w14:textId="3D1F07DB" w:rsidR="007F1D32" w:rsidRPr="00192880" w:rsidRDefault="007F1D32" w:rsidP="007F1D32">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92880">
              <w:rPr>
                <w:szCs w:val="18"/>
              </w:rPr>
              <w:t xml:space="preserve">See the </w:t>
            </w:r>
            <w:hyperlink w:anchor="_How__to" w:history="1">
              <w:r w:rsidRPr="00192880">
                <w:rPr>
                  <w:rStyle w:val="Hyperlink"/>
                  <w:szCs w:val="18"/>
                </w:rPr>
                <w:t>assessing risk section</w:t>
              </w:r>
            </w:hyperlink>
            <w:r w:rsidRPr="00192880">
              <w:rPr>
                <w:szCs w:val="18"/>
              </w:rPr>
              <w:t xml:space="preserve"> for details on how to assess. </w:t>
            </w:r>
          </w:p>
        </w:tc>
      </w:tr>
      <w:tr w:rsidR="007F1D32" w:rsidRPr="00192880" w14:paraId="518D86F5"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797F7508" w14:textId="228FB8F7" w:rsidR="007F1D32" w:rsidRPr="00192880" w:rsidRDefault="00717772" w:rsidP="007F1D32">
            <w:pPr>
              <w:pStyle w:val="TableParagraph"/>
              <w:rPr>
                <w:szCs w:val="18"/>
              </w:rPr>
            </w:pPr>
            <w:r>
              <w:rPr>
                <w:szCs w:val="18"/>
              </w:rPr>
              <w:t>Potential</w:t>
            </w:r>
            <w:r w:rsidRPr="00BD7B9D">
              <w:rPr>
                <w:szCs w:val="18"/>
              </w:rPr>
              <w:t xml:space="preserve"> for substance/opioid misuse, abuse, or disorder</w:t>
            </w:r>
          </w:p>
        </w:tc>
        <w:tc>
          <w:tcPr>
            <w:tcW w:w="5778" w:type="dxa"/>
          </w:tcPr>
          <w:p w14:paraId="29B9A221" w14:textId="65A37A13" w:rsidR="007F1D32" w:rsidRPr="00192880" w:rsidRDefault="007F1D32" w:rsidP="007F1D32">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92880">
              <w:rPr>
                <w:szCs w:val="18"/>
              </w:rPr>
              <w:t xml:space="preserve">Potential tools to use: </w:t>
            </w:r>
            <w:hyperlink r:id="rId37" w:history="1">
              <w:r w:rsidRPr="00192880">
                <w:rPr>
                  <w:rStyle w:val="Hyperlink"/>
                  <w:szCs w:val="18"/>
                </w:rPr>
                <w:t>ORT</w:t>
              </w:r>
            </w:hyperlink>
            <w:r w:rsidRPr="00192880">
              <w:rPr>
                <w:szCs w:val="18"/>
              </w:rPr>
              <w:t xml:space="preserve">, </w:t>
            </w:r>
            <w:hyperlink r:id="rId38" w:history="1">
              <w:r w:rsidRPr="00192880">
                <w:rPr>
                  <w:rStyle w:val="Hyperlink"/>
                  <w:szCs w:val="18"/>
                </w:rPr>
                <w:t>SOAPP</w:t>
              </w:r>
            </w:hyperlink>
            <w:r w:rsidRPr="00192880">
              <w:rPr>
                <w:szCs w:val="18"/>
              </w:rPr>
              <w:t xml:space="preserve">, </w:t>
            </w:r>
            <w:hyperlink r:id="rId39" w:history="1">
              <w:r w:rsidRPr="00192880">
                <w:rPr>
                  <w:rStyle w:val="Hyperlink"/>
                  <w:szCs w:val="18"/>
                </w:rPr>
                <w:t>COMM</w:t>
              </w:r>
            </w:hyperlink>
            <w:r w:rsidRPr="00192880">
              <w:rPr>
                <w:szCs w:val="18"/>
              </w:rPr>
              <w:t xml:space="preserve">, </w:t>
            </w:r>
            <w:hyperlink r:id="rId40" w:history="1">
              <w:r w:rsidRPr="00192880">
                <w:rPr>
                  <w:rStyle w:val="Hyperlink"/>
                  <w:szCs w:val="18"/>
                </w:rPr>
                <w:t>DAST</w:t>
              </w:r>
            </w:hyperlink>
            <w:r w:rsidRPr="00192880">
              <w:rPr>
                <w:szCs w:val="18"/>
              </w:rPr>
              <w:t xml:space="preserve">, </w:t>
            </w:r>
            <w:hyperlink r:id="rId41" w:history="1">
              <w:r w:rsidRPr="00192880">
                <w:rPr>
                  <w:rStyle w:val="Hyperlink"/>
                  <w:szCs w:val="18"/>
                </w:rPr>
                <w:t>TAPS</w:t>
              </w:r>
            </w:hyperlink>
            <w:r w:rsidRPr="00192880">
              <w:rPr>
                <w:rStyle w:val="Hyperlink"/>
                <w:szCs w:val="18"/>
              </w:rPr>
              <w:t xml:space="preserve">, </w:t>
            </w:r>
            <w:hyperlink r:id="rId42" w:history="1">
              <w:r w:rsidRPr="00192880">
                <w:rPr>
                  <w:rStyle w:val="Hyperlink"/>
                  <w:szCs w:val="18"/>
                </w:rPr>
                <w:t>DSM-5</w:t>
              </w:r>
            </w:hyperlink>
          </w:p>
        </w:tc>
      </w:tr>
      <w:tr w:rsidR="007F1D32" w:rsidRPr="00192880" w14:paraId="666A0533"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3D7F3CF8" w14:textId="23190701" w:rsidR="007F1D32" w:rsidRPr="00192880" w:rsidRDefault="007F1D32" w:rsidP="007F1D32">
            <w:pPr>
              <w:pStyle w:val="TableParagraph"/>
              <w:rPr>
                <w:szCs w:val="18"/>
              </w:rPr>
            </w:pPr>
            <w:r w:rsidRPr="00192880">
              <w:rPr>
                <w:szCs w:val="18"/>
              </w:rPr>
              <w:t xml:space="preserve">Current substances used, including </w:t>
            </w:r>
            <w:hyperlink r:id="rId43" w:history="1">
              <w:r w:rsidR="002C0CB3">
                <w:rPr>
                  <w:rStyle w:val="Hyperlink"/>
                  <w:b w:val="0"/>
                  <w:bCs w:val="0"/>
                  <w:szCs w:val="18"/>
                </w:rPr>
                <w:t>sedative</w:t>
              </w:r>
              <w:r w:rsidRPr="00192880">
                <w:rPr>
                  <w:rStyle w:val="Hyperlink"/>
                  <w:b w:val="0"/>
                  <w:bCs w:val="0"/>
                  <w:szCs w:val="18"/>
                </w:rPr>
                <w:t>s</w:t>
              </w:r>
            </w:hyperlink>
            <w:r w:rsidRPr="00192880">
              <w:rPr>
                <w:szCs w:val="18"/>
              </w:rPr>
              <w:t xml:space="preserve"> (e.g.,  benzodiazepines, carisoprodol)</w:t>
            </w:r>
          </w:p>
        </w:tc>
        <w:tc>
          <w:tcPr>
            <w:tcW w:w="5778" w:type="dxa"/>
          </w:tcPr>
          <w:p w14:paraId="5552D95F" w14:textId="78AAD8A0" w:rsidR="007F1D32" w:rsidRPr="00192880" w:rsidRDefault="00ED04EF" w:rsidP="007F1D32">
            <w:pPr>
              <w:pStyle w:val="TableParagraph"/>
              <w:cnfStyle w:val="000000100000" w:firstRow="0" w:lastRow="0" w:firstColumn="0" w:lastColumn="0" w:oddVBand="0" w:evenVBand="0" w:oddHBand="1" w:evenHBand="0" w:firstRowFirstColumn="0" w:firstRowLastColumn="0" w:lastRowFirstColumn="0" w:lastRowLastColumn="0"/>
              <w:rPr>
                <w:color w:val="404040" w:themeColor="text1" w:themeTint="BF"/>
                <w:szCs w:val="18"/>
                <w:u w:val="dotted"/>
              </w:rPr>
            </w:pPr>
            <w:hyperlink r:id="rId44" w:history="1">
              <w:r w:rsidR="00192880" w:rsidRPr="00192880">
                <w:rPr>
                  <w:rStyle w:val="Hyperlink"/>
                  <w:szCs w:val="18"/>
                </w:rPr>
                <w:t>UDT</w:t>
              </w:r>
            </w:hyperlink>
          </w:p>
        </w:tc>
      </w:tr>
      <w:tr w:rsidR="007F1D32" w:rsidRPr="00192880" w14:paraId="3B233A50"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0C5660C1" w14:textId="0D3F80F4" w:rsidR="007F1D32" w:rsidRPr="00192880" w:rsidRDefault="007F1D32" w:rsidP="007F1D32">
            <w:pPr>
              <w:pStyle w:val="TableParagraph"/>
              <w:rPr>
                <w:szCs w:val="18"/>
              </w:rPr>
            </w:pPr>
            <w:r w:rsidRPr="00192880">
              <w:rPr>
                <w:szCs w:val="18"/>
              </w:rPr>
              <w:t xml:space="preserve">Current medications filled, including </w:t>
            </w:r>
            <w:hyperlink r:id="rId45" w:history="1">
              <w:r w:rsidR="002C0CB3">
                <w:rPr>
                  <w:rStyle w:val="Hyperlink"/>
                  <w:b w:val="0"/>
                  <w:bCs w:val="0"/>
                  <w:szCs w:val="18"/>
                </w:rPr>
                <w:t>sedative</w:t>
              </w:r>
              <w:r w:rsidRPr="00192880">
                <w:rPr>
                  <w:rStyle w:val="Hyperlink"/>
                  <w:b w:val="0"/>
                  <w:bCs w:val="0"/>
                  <w:szCs w:val="18"/>
                </w:rPr>
                <w:t>s</w:t>
              </w:r>
            </w:hyperlink>
            <w:r w:rsidRPr="00192880">
              <w:rPr>
                <w:szCs w:val="18"/>
              </w:rPr>
              <w:t xml:space="preserve"> (e.g.,  benzodiazepines, carisoprodol)</w:t>
            </w:r>
          </w:p>
        </w:tc>
        <w:tc>
          <w:tcPr>
            <w:tcW w:w="5778" w:type="dxa"/>
          </w:tcPr>
          <w:p w14:paraId="68CA7CD1" w14:textId="7441F8E7" w:rsidR="007F1D32" w:rsidRPr="00192880" w:rsidRDefault="00ED04EF" w:rsidP="007F1D32">
            <w:pPr>
              <w:pStyle w:val="TableParagraph"/>
              <w:cnfStyle w:val="000000000000" w:firstRow="0" w:lastRow="0" w:firstColumn="0" w:lastColumn="0" w:oddVBand="0" w:evenVBand="0" w:oddHBand="0" w:evenHBand="0" w:firstRowFirstColumn="0" w:firstRowLastColumn="0" w:lastRowFirstColumn="0" w:lastRowLastColumn="0"/>
              <w:rPr>
                <w:szCs w:val="18"/>
              </w:rPr>
            </w:pPr>
            <w:hyperlink w:anchor="_Medications_taken/dose" w:history="1">
              <w:r w:rsidR="00192880" w:rsidRPr="00192880">
                <w:rPr>
                  <w:rStyle w:val="Hyperlink"/>
                  <w:szCs w:val="18"/>
                </w:rPr>
                <w:t>PDMP</w:t>
              </w:r>
            </w:hyperlink>
          </w:p>
        </w:tc>
      </w:tr>
      <w:tr w:rsidR="00192880" w:rsidRPr="00192880" w14:paraId="181D1953"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5180E77A" w14:textId="77777777" w:rsidR="00192880" w:rsidRPr="00192880" w:rsidRDefault="00192880" w:rsidP="00192880">
            <w:pPr>
              <w:pStyle w:val="TableParagraph"/>
              <w:rPr>
                <w:szCs w:val="18"/>
              </w:rPr>
            </w:pPr>
            <w:r w:rsidRPr="00192880">
              <w:rPr>
                <w:szCs w:val="18"/>
              </w:rPr>
              <w:t>Morphine equivalent dosing</w:t>
            </w:r>
          </w:p>
        </w:tc>
        <w:tc>
          <w:tcPr>
            <w:tcW w:w="5778" w:type="dxa"/>
          </w:tcPr>
          <w:p w14:paraId="593D1A0C" w14:textId="573504FE" w:rsidR="00192880" w:rsidRPr="00192880" w:rsidRDefault="00192880" w:rsidP="00192880">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92880">
              <w:rPr>
                <w:szCs w:val="18"/>
              </w:rPr>
              <w:t xml:space="preserve">MED </w:t>
            </w:r>
            <w:hyperlink r:id="rId46" w:history="1">
              <w:r w:rsidRPr="00192880">
                <w:rPr>
                  <w:rStyle w:val="Hyperlink"/>
                  <w:szCs w:val="18"/>
                </w:rPr>
                <w:t>calculator</w:t>
              </w:r>
            </w:hyperlink>
          </w:p>
        </w:tc>
      </w:tr>
      <w:tr w:rsidR="007F1D32" w:rsidRPr="00192880" w14:paraId="11283FA4"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2F614C43" w14:textId="77777777" w:rsidR="007F1D32" w:rsidRPr="00192880" w:rsidRDefault="007F1D32" w:rsidP="007F1D32">
            <w:pPr>
              <w:pStyle w:val="TableParagraph"/>
              <w:rPr>
                <w:szCs w:val="18"/>
              </w:rPr>
            </w:pPr>
            <w:r w:rsidRPr="00192880">
              <w:rPr>
                <w:szCs w:val="18"/>
              </w:rPr>
              <w:t>Informed consent</w:t>
            </w:r>
          </w:p>
        </w:tc>
        <w:tc>
          <w:tcPr>
            <w:tcW w:w="5778" w:type="dxa"/>
          </w:tcPr>
          <w:p w14:paraId="42B76847" w14:textId="26A7EB3C" w:rsidR="007F1D32" w:rsidRPr="00192880" w:rsidRDefault="007F1D32" w:rsidP="007F1D32">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92880">
              <w:rPr>
                <w:szCs w:val="18"/>
              </w:rPr>
              <w:t xml:space="preserve">Review the </w:t>
            </w:r>
            <w:hyperlink r:id="rId47" w:history="1">
              <w:r w:rsidRPr="00192880">
                <w:rPr>
                  <w:rStyle w:val="Hyperlink"/>
                  <w:szCs w:val="18"/>
                </w:rPr>
                <w:t xml:space="preserve">patient agreement </w:t>
              </w:r>
            </w:hyperlink>
            <w:r w:rsidRPr="00192880">
              <w:rPr>
                <w:szCs w:val="18"/>
              </w:rPr>
              <w:t xml:space="preserve"> and have the patient sign it</w:t>
            </w:r>
          </w:p>
        </w:tc>
      </w:tr>
      <w:tr w:rsidR="00192880" w:rsidRPr="00192880" w14:paraId="600368DC" w14:textId="77777777" w:rsidTr="00B54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7936086F" w14:textId="77777777" w:rsidR="00192880" w:rsidRPr="00192880" w:rsidRDefault="00192880" w:rsidP="00192880">
            <w:pPr>
              <w:pStyle w:val="TableParagraph"/>
              <w:rPr>
                <w:szCs w:val="18"/>
              </w:rPr>
            </w:pPr>
            <w:r w:rsidRPr="00192880">
              <w:rPr>
                <w:szCs w:val="18"/>
              </w:rPr>
              <w:t>Calculation of morphine equivalent dosing</w:t>
            </w:r>
          </w:p>
        </w:tc>
        <w:tc>
          <w:tcPr>
            <w:tcW w:w="5778" w:type="dxa"/>
          </w:tcPr>
          <w:p w14:paraId="28EE7B78" w14:textId="591D55FE" w:rsidR="00192880" w:rsidRPr="00192880" w:rsidRDefault="00192880" w:rsidP="00192880">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92880">
              <w:rPr>
                <w:szCs w:val="18"/>
              </w:rPr>
              <w:t xml:space="preserve">MED </w:t>
            </w:r>
            <w:hyperlink r:id="rId48" w:history="1">
              <w:r w:rsidRPr="00192880">
                <w:rPr>
                  <w:rStyle w:val="Hyperlink"/>
                  <w:szCs w:val="18"/>
                </w:rPr>
                <w:t>calculator</w:t>
              </w:r>
            </w:hyperlink>
          </w:p>
        </w:tc>
      </w:tr>
      <w:tr w:rsidR="00192880" w:rsidRPr="00192880" w14:paraId="1DE06016" w14:textId="77777777" w:rsidTr="00B546DC">
        <w:tc>
          <w:tcPr>
            <w:cnfStyle w:val="001000000000" w:firstRow="0" w:lastRow="0" w:firstColumn="1" w:lastColumn="0" w:oddVBand="0" w:evenVBand="0" w:oddHBand="0" w:evenHBand="0" w:firstRowFirstColumn="0" w:firstRowLastColumn="0" w:lastRowFirstColumn="0" w:lastRowLastColumn="0"/>
            <w:tcW w:w="5125" w:type="dxa"/>
          </w:tcPr>
          <w:p w14:paraId="74F4331A" w14:textId="73206677" w:rsidR="00192880" w:rsidRPr="00192880" w:rsidRDefault="00192880" w:rsidP="00192880">
            <w:pPr>
              <w:pStyle w:val="TableParagraph"/>
              <w:rPr>
                <w:szCs w:val="18"/>
              </w:rPr>
            </w:pPr>
            <w:r w:rsidRPr="00192880">
              <w:rPr>
                <w:szCs w:val="18"/>
              </w:rPr>
              <w:t>Anxiety, depression</w:t>
            </w:r>
          </w:p>
        </w:tc>
        <w:tc>
          <w:tcPr>
            <w:tcW w:w="5778" w:type="dxa"/>
          </w:tcPr>
          <w:p w14:paraId="575974BD" w14:textId="51EA5FC5" w:rsidR="00192880" w:rsidRPr="00192880" w:rsidRDefault="00ED04EF" w:rsidP="00192880">
            <w:pPr>
              <w:pStyle w:val="TableParagraph"/>
              <w:cnfStyle w:val="000000000000" w:firstRow="0" w:lastRow="0" w:firstColumn="0" w:lastColumn="0" w:oddVBand="0" w:evenVBand="0" w:oddHBand="0" w:evenHBand="0" w:firstRowFirstColumn="0" w:firstRowLastColumn="0" w:lastRowFirstColumn="0" w:lastRowLastColumn="0"/>
              <w:rPr>
                <w:szCs w:val="18"/>
              </w:rPr>
            </w:pPr>
            <w:hyperlink r:id="rId49" w:history="1">
              <w:r w:rsidR="00192880" w:rsidRPr="00192880">
                <w:rPr>
                  <w:rStyle w:val="Hyperlink"/>
                  <w:szCs w:val="18"/>
                </w:rPr>
                <w:t>PHQ</w:t>
              </w:r>
            </w:hyperlink>
            <w:r w:rsidR="00192880" w:rsidRPr="00192880">
              <w:rPr>
                <w:szCs w:val="18"/>
              </w:rPr>
              <w:t xml:space="preserve">, </w:t>
            </w:r>
            <w:hyperlink r:id="rId50" w:history="1">
              <w:r w:rsidR="00192880" w:rsidRPr="00192880">
                <w:rPr>
                  <w:rStyle w:val="Hyperlink"/>
                  <w:szCs w:val="18"/>
                </w:rPr>
                <w:t>GAD-7</w:t>
              </w:r>
            </w:hyperlink>
            <w:r w:rsidR="00192880" w:rsidRPr="00192880">
              <w:rPr>
                <w:szCs w:val="18"/>
              </w:rPr>
              <w:t xml:space="preserve">; and, if elevated or suspected, consider </w:t>
            </w:r>
            <w:hyperlink r:id="rId51" w:history="1">
              <w:r w:rsidR="00192880" w:rsidRPr="00192880">
                <w:rPr>
                  <w:rStyle w:val="Hyperlink"/>
                  <w:szCs w:val="18"/>
                </w:rPr>
                <w:t>PTSD</w:t>
              </w:r>
            </w:hyperlink>
            <w:r w:rsidR="00192880" w:rsidRPr="00192880">
              <w:rPr>
                <w:szCs w:val="18"/>
              </w:rPr>
              <w:t xml:space="preserve"> screen</w:t>
            </w:r>
          </w:p>
        </w:tc>
      </w:tr>
    </w:tbl>
    <w:p w14:paraId="6D75DAC3" w14:textId="32DB069B" w:rsidR="008C4097" w:rsidRPr="00A42244" w:rsidRDefault="008C4097" w:rsidP="000B2166">
      <w:pPr>
        <w:pStyle w:val="Heading3"/>
        <w:spacing w:before="240"/>
      </w:pPr>
      <w:r>
        <w:t xml:space="preserve">Other important care processes for </w:t>
      </w:r>
      <w:r w:rsidR="00D44CC4">
        <w:t>these patients</w:t>
      </w:r>
    </w:p>
    <w:p w14:paraId="5D564B45" w14:textId="517833A8" w:rsidR="008C4097" w:rsidRPr="00DA4441" w:rsidRDefault="00F0384D" w:rsidP="008C4097">
      <w:pPr>
        <w:pStyle w:val="Bullet"/>
      </w:pPr>
      <w:r>
        <w:t xml:space="preserve">Provide patient with written notification and </w:t>
      </w:r>
      <w:r w:rsidRPr="004B47BF">
        <w:rPr>
          <w:rStyle w:val="Strong"/>
        </w:rPr>
        <w:t>e</w:t>
      </w:r>
      <w:r w:rsidR="008C4097" w:rsidRPr="004B47BF">
        <w:rPr>
          <w:rStyle w:val="Strong"/>
        </w:rPr>
        <w:t>ducate</w:t>
      </w:r>
      <w:r w:rsidR="008C4097" w:rsidRPr="00A42244">
        <w:t xml:space="preserve"> patients about the risks associated with the use of opioids (including opioid dependence), how to securely store opioids; and about </w:t>
      </w:r>
      <w:r w:rsidR="008C4097" w:rsidRPr="00DA4441">
        <w:t xml:space="preserve">the availability and location of disposal sites for unused opioid medications. </w:t>
      </w:r>
    </w:p>
    <w:p w14:paraId="167355F6" w14:textId="0A6BA22E" w:rsidR="00154798" w:rsidRPr="004A4521" w:rsidRDefault="00154798" w:rsidP="00154798">
      <w:pPr>
        <w:pStyle w:val="Bullet"/>
        <w:spacing w:line="240" w:lineRule="atLeast"/>
      </w:pPr>
      <w:r>
        <w:t xml:space="preserve">Prescribe </w:t>
      </w:r>
      <w:r w:rsidRPr="004B47BF">
        <w:rPr>
          <w:rStyle w:val="Strong"/>
        </w:rPr>
        <w:t>naloxone</w:t>
      </w:r>
      <w:r>
        <w:t xml:space="preserve"> “rescue” (nasal or injectable) if the patient is prescribed ≥ 50 MED daily, is at risk for overdose, on </w:t>
      </w:r>
      <w:hyperlink r:id="rId52" w:history="1">
        <w:r w:rsidRPr="0029317E">
          <w:rPr>
            <w:rStyle w:val="Hyperlink"/>
          </w:rPr>
          <w:t>sedative medications</w:t>
        </w:r>
      </w:hyperlink>
      <w:r>
        <w:t xml:space="preserve">, </w:t>
      </w:r>
      <w:r w:rsidR="00896296">
        <w:t xml:space="preserve">has opioid use disorder, </w:t>
      </w:r>
      <w:r>
        <w:t xml:space="preserve">or is at risk of respiratory suppression due to sleep apnea or chronic lung disease. See the </w:t>
      </w:r>
      <w:hyperlink w:anchor="_How__to" w:history="1">
        <w:r w:rsidRPr="003D17D5">
          <w:rPr>
            <w:rStyle w:val="Hyperlink"/>
          </w:rPr>
          <w:t>assessing risk section</w:t>
        </w:r>
      </w:hyperlink>
      <w:r>
        <w:t xml:space="preserve"> for how to assess. </w:t>
      </w:r>
    </w:p>
    <w:p w14:paraId="682C9F6A" w14:textId="5BA57F1B" w:rsidR="00F0384D" w:rsidRPr="00A42244" w:rsidRDefault="00DA4441" w:rsidP="00F0384D">
      <w:pPr>
        <w:pStyle w:val="Bullet"/>
      </w:pPr>
      <w:r w:rsidRPr="00DA4441">
        <w:t xml:space="preserve">If you identify a patient </w:t>
      </w:r>
      <w:r w:rsidR="00CF5F40">
        <w:t xml:space="preserve">who </w:t>
      </w:r>
      <w:r w:rsidRPr="00DA4441">
        <w:t xml:space="preserve">has </w:t>
      </w:r>
      <w:r w:rsidRPr="004B47BF">
        <w:rPr>
          <w:rStyle w:val="Strong"/>
        </w:rPr>
        <w:t>opioid use disorder</w:t>
      </w:r>
      <w:r w:rsidRPr="00DA4441">
        <w:t xml:space="preserve">, discuss treatment with buprenorphine or a referral to an opioid treatment program for methadone. </w:t>
      </w:r>
      <w:r w:rsidR="00F0384D" w:rsidRPr="00A42244">
        <w:t>Also</w:t>
      </w:r>
      <w:r w:rsidR="00F0384D">
        <w:t xml:space="preserve"> provide a referral</w:t>
      </w:r>
      <w:r w:rsidR="00CF5F40">
        <w:t xml:space="preserve"> to</w:t>
      </w:r>
      <w:r w:rsidR="00F0384D">
        <w:t xml:space="preserve"> behavioral health services, if available.</w:t>
      </w:r>
    </w:p>
    <w:p w14:paraId="3B755B16" w14:textId="4AC2F571" w:rsidR="009D1B68" w:rsidRDefault="00154E86" w:rsidP="002A2490">
      <w:pPr>
        <w:pStyle w:val="Heading3"/>
      </w:pPr>
      <w:r>
        <w:t>T</w:t>
      </w:r>
      <w:r w:rsidR="00396050">
        <w:t>apering</w:t>
      </w:r>
    </w:p>
    <w:p w14:paraId="50195E09" w14:textId="2716149A" w:rsidR="00154E86" w:rsidRDefault="00154E86" w:rsidP="00154E86">
      <w:pPr>
        <w:pStyle w:val="Bullet"/>
      </w:pPr>
      <w:r>
        <w:t xml:space="preserve">If the patient is at an </w:t>
      </w:r>
      <w:r w:rsidR="004E74E6" w:rsidRPr="004B47BF">
        <w:rPr>
          <w:rStyle w:val="Strong"/>
        </w:rPr>
        <w:t xml:space="preserve">opioid </w:t>
      </w:r>
      <w:r w:rsidRPr="004B47BF">
        <w:rPr>
          <w:rStyle w:val="Strong"/>
        </w:rPr>
        <w:t>dose of ≥90 MED</w:t>
      </w:r>
      <w:r>
        <w:t xml:space="preserve">, but their dose, pain, function, and compliance are stable, a pain consultation and tapering </w:t>
      </w:r>
      <w:r w:rsidR="00D41B50">
        <w:t>are</w:t>
      </w:r>
      <w:r>
        <w:t xml:space="preserve"> not required for the first 3 months of prescribing.</w:t>
      </w:r>
    </w:p>
    <w:p w14:paraId="0EDEDEE1" w14:textId="290DF611" w:rsidR="00E728D0" w:rsidRDefault="006A5D64" w:rsidP="007558D1">
      <w:pPr>
        <w:pStyle w:val="Bullet"/>
      </w:pPr>
      <w:r>
        <w:t>E</w:t>
      </w:r>
      <w:r w:rsidR="007558D1">
        <w:t xml:space="preserve">valuate </w:t>
      </w:r>
      <w:r w:rsidR="004B47BF">
        <w:t xml:space="preserve">when </w:t>
      </w:r>
      <w:r w:rsidR="007558D1">
        <w:t xml:space="preserve">tapering </w:t>
      </w:r>
      <w:r w:rsidR="007558D1" w:rsidRPr="007558D1">
        <w:t>or</w:t>
      </w:r>
      <w:r w:rsidR="007558D1">
        <w:t xml:space="preserve"> other adjustments in the treatment plan can or should be done.</w:t>
      </w:r>
    </w:p>
    <w:p w14:paraId="2F38B2E1" w14:textId="0D6BE458" w:rsidR="006E320F" w:rsidRPr="006E320F" w:rsidRDefault="007E2E44" w:rsidP="00A23A2E">
      <w:pPr>
        <w:pStyle w:val="Bullet"/>
        <w:rPr>
          <w:rFonts w:cs="TradeGothic CondEighteen"/>
          <w:color w:val="000000"/>
        </w:rPr>
      </w:pPr>
      <w:r>
        <w:t>If appropriate</w:t>
      </w:r>
      <w:r w:rsidR="00246F6A">
        <w:t xml:space="preserve">, </w:t>
      </w:r>
      <w:r w:rsidR="008C4097">
        <w:t>begin</w:t>
      </w:r>
      <w:r w:rsidR="006247CB">
        <w:t xml:space="preserve"> a </w:t>
      </w:r>
      <w:hyperlink r:id="rId53" w:history="1">
        <w:r w:rsidR="006247CB" w:rsidRPr="00F851D9">
          <w:rPr>
            <w:rStyle w:val="Hyperlink"/>
          </w:rPr>
          <w:t>tapering protocol</w:t>
        </w:r>
      </w:hyperlink>
      <w:r w:rsidR="001969BB">
        <w:t xml:space="preserve"> tailored to the patient</w:t>
      </w:r>
      <w:r w:rsidR="008C4097">
        <w:t xml:space="preserve"> by the </w:t>
      </w:r>
      <w:r w:rsidR="004E74E6">
        <w:t xml:space="preserve">end of the </w:t>
      </w:r>
      <w:r w:rsidR="008C4097">
        <w:t>3</w:t>
      </w:r>
      <w:r w:rsidR="008C4097" w:rsidRPr="008C4097">
        <w:rPr>
          <w:vertAlign w:val="superscript"/>
        </w:rPr>
        <w:t>rd</w:t>
      </w:r>
      <w:r w:rsidR="008C4097">
        <w:t xml:space="preserve"> month of care</w:t>
      </w:r>
      <w:r w:rsidR="006247CB">
        <w:t xml:space="preserve">. </w:t>
      </w:r>
      <w:r w:rsidR="00E751D7">
        <w:t>S</w:t>
      </w:r>
      <w:r w:rsidR="00AC6D30" w:rsidRPr="00261DEE">
        <w:t xml:space="preserve">low opioid </w:t>
      </w:r>
      <w:r w:rsidR="00AC6D30" w:rsidRPr="004B47BF">
        <w:rPr>
          <w:rStyle w:val="Strong"/>
        </w:rPr>
        <w:t>tapers</w:t>
      </w:r>
      <w:r w:rsidR="006E320F">
        <w:t xml:space="preserve"> (e.g., 10% per month</w:t>
      </w:r>
      <w:r w:rsidR="00BA66C7">
        <w:t xml:space="preserve"> or slower</w:t>
      </w:r>
      <w:r w:rsidR="006E320F">
        <w:t>)</w:t>
      </w:r>
      <w:r w:rsidR="00AC6D30" w:rsidRPr="00261DEE">
        <w:t xml:space="preserve"> as well as pauses</w:t>
      </w:r>
      <w:r w:rsidR="006D1348">
        <w:t xml:space="preserve"> in the taper with a defined resume time</w:t>
      </w:r>
      <w:r w:rsidR="00AC6D30" w:rsidRPr="00261DEE">
        <w:t xml:space="preserve"> allow gradual accommodation to lower </w:t>
      </w:r>
      <w:r w:rsidR="00AC6D30" w:rsidRPr="006E320F">
        <w:t>opioid dosages</w:t>
      </w:r>
      <w:r w:rsidR="00BA66C7">
        <w:t xml:space="preserve"> and are best practices</w:t>
      </w:r>
      <w:r w:rsidR="00AC6D30" w:rsidRPr="006E320F">
        <w:t>.</w:t>
      </w:r>
      <w:r w:rsidR="00DA4441" w:rsidRPr="006E320F">
        <w:t xml:space="preserve"> </w:t>
      </w:r>
      <w:r w:rsidR="006D1348">
        <w:t xml:space="preserve">If a patient is enthusiastic about tapering, </w:t>
      </w:r>
      <w:r w:rsidR="00BA66C7">
        <w:t xml:space="preserve">they can increase the taper rate (e.g., </w:t>
      </w:r>
      <w:r w:rsidR="006D1348">
        <w:t>10% every 2 weeks</w:t>
      </w:r>
      <w:r w:rsidR="00BA66C7">
        <w:t>)</w:t>
      </w:r>
      <w:r w:rsidR="006D1348">
        <w:t xml:space="preserve">. Avoid increasing doses once tapering </w:t>
      </w:r>
      <w:r w:rsidR="0052328A">
        <w:t xml:space="preserve">begins </w:t>
      </w:r>
      <w:r w:rsidR="006D1348">
        <w:t>by identifying non-opioid strategies for pain flares. The only exception is a new acute pain problem.</w:t>
      </w:r>
      <w:r w:rsidR="00717772">
        <w:t xml:space="preserve"> </w:t>
      </w:r>
    </w:p>
    <w:p w14:paraId="0D5BD025" w14:textId="54F52CBB" w:rsidR="006D1348" w:rsidRDefault="006D1348" w:rsidP="006D1348">
      <w:pPr>
        <w:pStyle w:val="Bullet"/>
      </w:pPr>
      <w:r>
        <w:t>Be aware that unrecognized depression, anxiety and PTSD may be uncovered during a taper.</w:t>
      </w:r>
    </w:p>
    <w:p w14:paraId="7CD906C7" w14:textId="2346BAFF" w:rsidR="00A23A2E" w:rsidRPr="007C7F75" w:rsidRDefault="00DA4441" w:rsidP="00951A45">
      <w:pPr>
        <w:pStyle w:val="Bullet"/>
        <w:rPr>
          <w:rFonts w:cs="TradeGothic CondEighteen"/>
          <w:color w:val="000000"/>
        </w:rPr>
      </w:pPr>
      <w:r w:rsidRPr="006E320F">
        <w:t xml:space="preserve">If not tapering and the patient has an </w:t>
      </w:r>
      <w:r w:rsidR="00A23A2E" w:rsidRPr="006E320F">
        <w:t xml:space="preserve">MED of 90 to 119 MED/day, consider a </w:t>
      </w:r>
      <w:r w:rsidR="00A23A2E" w:rsidRPr="004B47BF">
        <w:rPr>
          <w:rStyle w:val="Strong"/>
        </w:rPr>
        <w:t>pain specialist consultation</w:t>
      </w:r>
      <w:r w:rsidR="00A23A2E" w:rsidRPr="006E320F">
        <w:t xml:space="preserve">. </w:t>
      </w:r>
      <w:r w:rsidR="006E320F" w:rsidRPr="006E320F">
        <w:t>After 3 months, a</w:t>
      </w:r>
      <w:r w:rsidR="00A23A2E" w:rsidRPr="006E320F">
        <w:t xml:space="preserve"> pain specialist consultation is required at a dose of ≥ 120 MED/day </w:t>
      </w:r>
      <w:r w:rsidR="00BA66C7" w:rsidRPr="00802FEE">
        <w:t xml:space="preserve">unless </w:t>
      </w:r>
      <w:r w:rsidR="00BA66C7">
        <w:t xml:space="preserve">the patient is </w:t>
      </w:r>
      <w:r w:rsidR="00BA66C7" w:rsidRPr="00802FEE">
        <w:t xml:space="preserve">following a tapering schedule, treatment is for short-term acute pain, pain and function </w:t>
      </w:r>
      <w:r w:rsidR="00BA66C7">
        <w:t xml:space="preserve">are </w:t>
      </w:r>
      <w:r w:rsidR="00BA66C7" w:rsidRPr="00802FEE">
        <w:t>stable with a non-escalating dose</w:t>
      </w:r>
      <w:r w:rsidR="00BA66C7">
        <w:t xml:space="preserve"> of opioids</w:t>
      </w:r>
      <w:r w:rsidR="00BA66C7" w:rsidRPr="00802FEE">
        <w:t xml:space="preserve">, or reasonable attempts to obtain consultation </w:t>
      </w:r>
      <w:r w:rsidR="00BA66C7">
        <w:t xml:space="preserve">have </w:t>
      </w:r>
      <w:r w:rsidR="00BA66C7" w:rsidRPr="00802FEE">
        <w:t>failed.</w:t>
      </w:r>
    </w:p>
    <w:p w14:paraId="276E369E" w14:textId="0A90109C" w:rsidR="006E320F" w:rsidRDefault="006E320F" w:rsidP="006E320F">
      <w:pPr>
        <w:pStyle w:val="Bullet"/>
      </w:pPr>
      <w:r>
        <w:t xml:space="preserve">If </w:t>
      </w:r>
      <w:r w:rsidR="004B47BF" w:rsidRPr="004B47BF">
        <w:rPr>
          <w:rStyle w:val="Strong"/>
        </w:rPr>
        <w:t>co-prescribing</w:t>
      </w:r>
      <w:r w:rsidR="004B47BF">
        <w:t xml:space="preserve"> </w:t>
      </w:r>
      <w:r w:rsidRPr="006E320F">
        <w:t xml:space="preserve">opioids and </w:t>
      </w:r>
      <w:hyperlink r:id="rId54" w:history="1">
        <w:r w:rsidR="002C0CB3">
          <w:rPr>
            <w:rStyle w:val="Hyperlink"/>
            <w:bCs/>
          </w:rPr>
          <w:t>sedative</w:t>
        </w:r>
        <w:r w:rsidRPr="006E320F">
          <w:rPr>
            <w:rStyle w:val="Hyperlink"/>
            <w:bCs/>
          </w:rPr>
          <w:t>s</w:t>
        </w:r>
      </w:hyperlink>
      <w:r w:rsidR="00B453A5">
        <w:rPr>
          <w:rStyle w:val="Hyperlink"/>
          <w:bCs/>
        </w:rPr>
        <w:t xml:space="preserve"> for a patient</w:t>
      </w:r>
      <w:r>
        <w:t>, begin tapering when appropriate and within 3 months. Engage the patient in the process by deciding which to taper and at what rate. The tapering plan can change over time (e.g., which medicine</w:t>
      </w:r>
      <w:r w:rsidR="00BA66C7">
        <w:t xml:space="preserve"> is currently being</w:t>
      </w:r>
      <w:r>
        <w:t xml:space="preserve"> tapered </w:t>
      </w:r>
      <w:r w:rsidR="00C74BD3">
        <w:t>can alternate</w:t>
      </w:r>
      <w:r w:rsidR="00BA66C7">
        <w:t xml:space="preserve"> over time</w:t>
      </w:r>
      <w:r w:rsidR="00C74BD3">
        <w:t>; tapering rate can change</w:t>
      </w:r>
      <w:r>
        <w:t>).</w:t>
      </w:r>
    </w:p>
    <w:p w14:paraId="7E4AFAA7" w14:textId="7B9C31CC" w:rsidR="009A13B8" w:rsidRDefault="006247CB" w:rsidP="00B903CF">
      <w:pPr>
        <w:pStyle w:val="Bullet"/>
      </w:pPr>
      <w:r>
        <w:t xml:space="preserve">If the patient chooses not to follow </w:t>
      </w:r>
      <w:r w:rsidR="009A13B8">
        <w:t>a</w:t>
      </w:r>
      <w:r>
        <w:t xml:space="preserve"> taper</w:t>
      </w:r>
      <w:r w:rsidR="00BF3139">
        <w:t>ing</w:t>
      </w:r>
      <w:r>
        <w:t xml:space="preserve"> regimen</w:t>
      </w:r>
      <w:r w:rsidR="009A13B8">
        <w:t xml:space="preserve"> and the clinician believes that </w:t>
      </w:r>
      <w:r w:rsidR="00BA66C7">
        <w:rPr>
          <w:rStyle w:val="Strong"/>
        </w:rPr>
        <w:t>maintaining the current opioid dose</w:t>
      </w:r>
      <w:r w:rsidR="009A13B8" w:rsidRPr="004B47BF">
        <w:rPr>
          <w:rStyle w:val="Strong"/>
        </w:rPr>
        <w:t xml:space="preserve"> is a significant health risk</w:t>
      </w:r>
      <w:r>
        <w:t xml:space="preserve">, </w:t>
      </w:r>
      <w:r w:rsidR="0026397D">
        <w:t>inform them tha</w:t>
      </w:r>
      <w:r w:rsidR="00574E18">
        <w:t>t</w:t>
      </w:r>
      <w:r w:rsidR="0026397D">
        <w:t xml:space="preserve"> </w:t>
      </w:r>
      <w:r>
        <w:t xml:space="preserve">they will not </w:t>
      </w:r>
      <w:r w:rsidR="0026397D">
        <w:t xml:space="preserve">continue to </w:t>
      </w:r>
      <w:r>
        <w:t>receive</w:t>
      </w:r>
      <w:r w:rsidR="00051461">
        <w:t xml:space="preserve"> long-term</w:t>
      </w:r>
      <w:r>
        <w:t xml:space="preserve"> opioid therapy.</w:t>
      </w:r>
      <w:r w:rsidR="00817143">
        <w:t xml:space="preserve"> However, it is important to continue offering primary care to this patient.</w:t>
      </w:r>
      <w:r w:rsidR="009A13B8">
        <w:t xml:space="preserve"> </w:t>
      </w:r>
    </w:p>
    <w:p w14:paraId="722ACEFF" w14:textId="3788151C" w:rsidR="00DD07C3" w:rsidRDefault="009A13B8" w:rsidP="00B903CF">
      <w:pPr>
        <w:pStyle w:val="Bullet"/>
      </w:pPr>
      <w:r>
        <w:t xml:space="preserve">If the patient chooses not to follow a tapering regimen and the clinician </w:t>
      </w:r>
      <w:r w:rsidR="007E3F93">
        <w:t>believe that it is not a significant health risk to maintain the current opioid dose</w:t>
      </w:r>
      <w:r>
        <w:t>, the clinician can use clinical judgement and continue opioids. In this case, the clinician should broach the tapering conversation at every visit</w:t>
      </w:r>
      <w:r w:rsidR="007E3F93">
        <w:t xml:space="preserve"> and document in the chart about the conversations</w:t>
      </w:r>
      <w:r>
        <w:t>.</w:t>
      </w:r>
    </w:p>
    <w:bookmarkStart w:id="14" w:name="_Section_4"/>
    <w:bookmarkStart w:id="15" w:name="_Toc1997746"/>
    <w:bookmarkStart w:id="16" w:name="_Toc1997827"/>
    <w:bookmarkEnd w:id="14"/>
    <w:p w14:paraId="31EDAE51" w14:textId="3C6F5F0C" w:rsidR="00C95DEB" w:rsidRDefault="00ED760D">
      <w:pPr>
        <w:rPr>
          <w:rFonts w:ascii="Corbel" w:eastAsiaTheme="majorEastAsia" w:hAnsi="Corbel" w:cstheme="majorBidi"/>
          <w:bCs/>
          <w:color w:val="000000" w:themeColor="text1"/>
          <w:sz w:val="32"/>
          <w:szCs w:val="52"/>
        </w:rPr>
      </w:pPr>
      <w:r>
        <w:rPr>
          <w:noProof/>
        </w:rPr>
        <mc:AlternateContent>
          <mc:Choice Requires="wps">
            <w:drawing>
              <wp:anchor distT="0" distB="0" distL="114300" distR="114300" simplePos="0" relativeHeight="251658752" behindDoc="0" locked="0" layoutInCell="1" allowOverlap="1" wp14:anchorId="5CB9846E" wp14:editId="2EA8F24A">
                <wp:simplePos x="0" y="0"/>
                <wp:positionH relativeFrom="margin">
                  <wp:posOffset>291465</wp:posOffset>
                </wp:positionH>
                <wp:positionV relativeFrom="paragraph">
                  <wp:posOffset>547370</wp:posOffset>
                </wp:positionV>
                <wp:extent cx="6281420" cy="3958590"/>
                <wp:effectExtent l="57150" t="38100" r="62230" b="80010"/>
                <wp:wrapSquare wrapText="bothSides"/>
                <wp:docPr id="8" name="Rounded Rectangle 8"/>
                <wp:cNvGraphicFramePr/>
                <a:graphic xmlns:a="http://schemas.openxmlformats.org/drawingml/2006/main">
                  <a:graphicData uri="http://schemas.microsoft.com/office/word/2010/wordprocessingShape">
                    <wps:wsp>
                      <wps:cNvSpPr/>
                      <wps:spPr>
                        <a:xfrm>
                          <a:off x="0" y="0"/>
                          <a:ext cx="6281420" cy="395859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14:paraId="360F26EA" w14:textId="09C43CC2" w:rsidR="00C95DEB" w:rsidRPr="00AE0425" w:rsidRDefault="00C95DEB" w:rsidP="00177B38">
                            <w:pPr>
                              <w:jc w:val="center"/>
                              <w:rPr>
                                <w:rFonts w:ascii="Corbel" w:hAnsi="Corbel"/>
                                <w:color w:val="FFFFFF" w:themeColor="background1"/>
                                <w:u w:val="single"/>
                              </w:rPr>
                            </w:pPr>
                            <w:r w:rsidRPr="00AE0425">
                              <w:rPr>
                                <w:rFonts w:ascii="Corbel" w:hAnsi="Corbel"/>
                                <w:color w:val="FFFFFF" w:themeColor="background1"/>
                                <w:u w:val="single"/>
                              </w:rPr>
                              <w:t>What to document in the patient record</w:t>
                            </w:r>
                          </w:p>
                          <w:p w14:paraId="3B6206E8" w14:textId="59360396" w:rsidR="00C95DEB" w:rsidRPr="00EE0863" w:rsidRDefault="00ED04EF" w:rsidP="00177B38">
                            <w:pPr>
                              <w:pStyle w:val="Bullet"/>
                              <w:rPr>
                                <w:color w:val="FFFFFF" w:themeColor="background1"/>
                              </w:rPr>
                            </w:pPr>
                            <w:hyperlink w:anchor="_Appendix_A:_Risk" w:history="1">
                              <w:r w:rsidR="00C95DEB" w:rsidRPr="00673E50">
                                <w:rPr>
                                  <w:rStyle w:val="Hyperlink"/>
                                  <w:color w:val="FFFFFF" w:themeColor="background1"/>
                                </w:rPr>
                                <w:t>Risk level</w:t>
                              </w:r>
                            </w:hyperlink>
                            <w:r w:rsidR="00C95DEB" w:rsidRPr="00673E50">
                              <w:rPr>
                                <w:color w:val="FFFFFF" w:themeColor="background1"/>
                              </w:rPr>
                              <w:t xml:space="preserve"> and </w:t>
                            </w:r>
                            <w:r w:rsidR="00C95DEB" w:rsidRPr="00EE0863">
                              <w:rPr>
                                <w:color w:val="FFFFFF" w:themeColor="background1"/>
                              </w:rPr>
                              <w:t>related intervals for pain visits (high risk, at least quarterly, moderate risk, at least semiannually; low-risk, at least annually)</w:t>
                            </w:r>
                          </w:p>
                          <w:p w14:paraId="5C723315" w14:textId="559082E0" w:rsidR="00C95DEB" w:rsidRPr="00EE0863" w:rsidRDefault="00C95DEB" w:rsidP="00177B38">
                            <w:pPr>
                              <w:pStyle w:val="Bullet"/>
                              <w:rPr>
                                <w:color w:val="FFFFFF" w:themeColor="background1"/>
                              </w:rPr>
                            </w:pPr>
                            <w:r w:rsidRPr="00EE0863">
                              <w:rPr>
                                <w:color w:val="FFFFFF" w:themeColor="background1"/>
                              </w:rPr>
                              <w:t>Diagnosis</w:t>
                            </w:r>
                          </w:p>
                          <w:p w14:paraId="40544E01" w14:textId="33E5F420" w:rsidR="00C95DEB" w:rsidRPr="00EE0863" w:rsidRDefault="00C95DEB" w:rsidP="002A2490">
                            <w:pPr>
                              <w:pStyle w:val="Bullet"/>
                              <w:rPr>
                                <w:color w:val="FFFFFF" w:themeColor="background1"/>
                              </w:rPr>
                            </w:pPr>
                            <w:r w:rsidRPr="00EE0863">
                              <w:rPr>
                                <w:color w:val="FFFFFF" w:themeColor="background1"/>
                              </w:rPr>
                              <w:t>Plan for treatment (e.g., physical therapy, opioid medication)</w:t>
                            </w:r>
                          </w:p>
                          <w:p w14:paraId="2ED92E35" w14:textId="339E6EAA" w:rsidR="00C95DEB" w:rsidRPr="00E11AC6" w:rsidRDefault="00C95DEB" w:rsidP="0005465E">
                            <w:pPr>
                              <w:pStyle w:val="Bullet"/>
                              <w:rPr>
                                <w:color w:val="FFFFFF" w:themeColor="background1"/>
                              </w:rPr>
                            </w:pPr>
                            <w:r w:rsidRPr="00E11AC6">
                              <w:rPr>
                                <w:color w:val="FFFFFF" w:themeColor="background1"/>
                              </w:rPr>
                              <w:t xml:space="preserve">If a taper is not initiated by </w:t>
                            </w:r>
                            <w:r>
                              <w:rPr>
                                <w:color w:val="FFFFFF" w:themeColor="background1"/>
                              </w:rPr>
                              <w:t>the end of the 3</w:t>
                            </w:r>
                            <w:r w:rsidRPr="008C4097">
                              <w:rPr>
                                <w:color w:val="FFFFFF" w:themeColor="background1"/>
                                <w:vertAlign w:val="superscript"/>
                              </w:rPr>
                              <w:t>rd</w:t>
                            </w:r>
                            <w:r>
                              <w:rPr>
                                <w:color w:val="FFFFFF" w:themeColor="background1"/>
                              </w:rPr>
                              <w:t xml:space="preserve"> month of caring for the patient</w:t>
                            </w:r>
                            <w:r w:rsidRPr="00E11AC6">
                              <w:rPr>
                                <w:color w:val="FFFFFF" w:themeColor="background1"/>
                              </w:rPr>
                              <w:t>, why the patient’s level of function o</w:t>
                            </w:r>
                            <w:r>
                              <w:rPr>
                                <w:color w:val="FFFFFF" w:themeColor="background1"/>
                              </w:rPr>
                              <w:t>r</w:t>
                            </w:r>
                            <w:r w:rsidRPr="00E11AC6">
                              <w:rPr>
                                <w:color w:val="FFFFFF" w:themeColor="background1"/>
                              </w:rPr>
                              <w:t xml:space="preserve"> pain control justifies continu</w:t>
                            </w:r>
                            <w:r>
                              <w:rPr>
                                <w:color w:val="FFFFFF" w:themeColor="background1"/>
                              </w:rPr>
                              <w:t>ing</w:t>
                            </w:r>
                            <w:r w:rsidRPr="00E11AC6">
                              <w:rPr>
                                <w:color w:val="FFFFFF" w:themeColor="background1"/>
                              </w:rPr>
                              <w:t xml:space="preserve"> opioids</w:t>
                            </w:r>
                          </w:p>
                          <w:p w14:paraId="4F32F373" w14:textId="20E11E74" w:rsidR="00C95DEB" w:rsidRPr="00EE0863" w:rsidRDefault="00C95DEB" w:rsidP="002A2490">
                            <w:pPr>
                              <w:pStyle w:val="Bullet"/>
                              <w:rPr>
                                <w:color w:val="FFFFFF" w:themeColor="background1"/>
                              </w:rPr>
                            </w:pPr>
                            <w:r w:rsidRPr="00EE0863">
                              <w:rPr>
                                <w:color w:val="FFFFFF" w:themeColor="background1"/>
                              </w:rPr>
                              <w:t>That you educated the patient about risks, storage, and safe disposal</w:t>
                            </w:r>
                          </w:p>
                          <w:p w14:paraId="65F64F33" w14:textId="77777777" w:rsidR="00C95DEB" w:rsidRPr="0091310B" w:rsidRDefault="00C95DEB" w:rsidP="004A649C">
                            <w:pPr>
                              <w:pStyle w:val="Bullet"/>
                              <w:rPr>
                                <w:color w:val="FFFFFF" w:themeColor="background1"/>
                              </w:rPr>
                            </w:pPr>
                            <w:r>
                              <w:rPr>
                                <w:color w:val="FFFFFF" w:themeColor="background1"/>
                              </w:rPr>
                              <w:t>Patient agreement signed</w:t>
                            </w:r>
                          </w:p>
                          <w:p w14:paraId="53D877A7" w14:textId="77777777" w:rsidR="00C95DEB" w:rsidRPr="007E3F93" w:rsidRDefault="00C95DEB" w:rsidP="00177B38">
                            <w:pPr>
                              <w:pStyle w:val="Bullet"/>
                              <w:rPr>
                                <w:color w:val="FFFFFF" w:themeColor="background1"/>
                              </w:rPr>
                            </w:pPr>
                            <w:r w:rsidRPr="007E3F93">
                              <w:rPr>
                                <w:color w:val="FFFFFF" w:themeColor="background1"/>
                              </w:rPr>
                              <w:t xml:space="preserve">Concerns identified through checking the PDMP </w:t>
                            </w:r>
                          </w:p>
                          <w:p w14:paraId="4C74CDBC" w14:textId="327328FF" w:rsidR="00C95DEB" w:rsidRDefault="00C95DEB" w:rsidP="00177B38">
                            <w:pPr>
                              <w:pStyle w:val="Bullet"/>
                              <w:rPr>
                                <w:color w:val="FFFFFF" w:themeColor="background1"/>
                              </w:rPr>
                            </w:pPr>
                            <w:r w:rsidRPr="00EE0863">
                              <w:rPr>
                                <w:color w:val="FFFFFF" w:themeColor="background1"/>
                              </w:rPr>
                              <w:t>Justification for</w:t>
                            </w:r>
                            <w:r>
                              <w:rPr>
                                <w:color w:val="FFFFFF" w:themeColor="background1"/>
                              </w:rPr>
                              <w:t>:</w:t>
                            </w:r>
                          </w:p>
                          <w:p w14:paraId="06DA400E" w14:textId="65477344" w:rsidR="00C95DEB" w:rsidRPr="00747A47" w:rsidRDefault="00C95DEB" w:rsidP="00254471">
                            <w:pPr>
                              <w:pStyle w:val="Subbullet"/>
                              <w:rPr>
                                <w:color w:val="FFFFFF" w:themeColor="background1"/>
                              </w:rPr>
                            </w:pPr>
                            <w:r w:rsidRPr="00747A47">
                              <w:rPr>
                                <w:color w:val="FFFFFF" w:themeColor="background1"/>
                              </w:rPr>
                              <w:t>Co-prescribing benzodiazepines, barbiturates, sedatives, carisoprod</w:t>
                            </w:r>
                            <w:r>
                              <w:rPr>
                                <w:color w:val="FFFFFF" w:themeColor="background1"/>
                              </w:rPr>
                              <w:t>o</w:t>
                            </w:r>
                            <w:r w:rsidRPr="00747A47">
                              <w:rPr>
                                <w:color w:val="FFFFFF" w:themeColor="background1"/>
                              </w:rPr>
                              <w:t>l, or non-benzodiazepine hypnotics</w:t>
                            </w:r>
                          </w:p>
                          <w:p w14:paraId="326C99C9" w14:textId="077772AB" w:rsidR="00C95DEB" w:rsidRPr="00747A47" w:rsidRDefault="00C95DEB" w:rsidP="00254471">
                            <w:pPr>
                              <w:pStyle w:val="Subbullet"/>
                              <w:rPr>
                                <w:color w:val="FFFFFF" w:themeColor="background1"/>
                              </w:rPr>
                            </w:pPr>
                            <w:r w:rsidRPr="00747A47">
                              <w:rPr>
                                <w:color w:val="FFFFFF" w:themeColor="background1"/>
                              </w:rPr>
                              <w:t>An opioid dosage ≥50 MED</w:t>
                            </w:r>
                          </w:p>
                          <w:p w14:paraId="5AAC25B8" w14:textId="2C1DFAEC" w:rsidR="00C95DEB" w:rsidRPr="00747A47" w:rsidRDefault="00C95DEB" w:rsidP="00254471">
                            <w:pPr>
                              <w:pStyle w:val="Subbullet"/>
                              <w:rPr>
                                <w:color w:val="FFFFFF" w:themeColor="background1"/>
                              </w:rPr>
                            </w:pPr>
                            <w:r w:rsidRPr="00747A47">
                              <w:rPr>
                                <w:color w:val="FFFFFF" w:themeColor="background1"/>
                              </w:rPr>
                              <w:t>Any deviation from clinic policies</w:t>
                            </w:r>
                          </w:p>
                          <w:p w14:paraId="410AE97D" w14:textId="77777777" w:rsidR="00C95DEB" w:rsidRPr="00177B38" w:rsidRDefault="00C95DEB" w:rsidP="00177B38">
                            <w:pPr>
                              <w:pStyle w:val="Bullet"/>
                              <w:numPr>
                                <w:ilvl w:val="0"/>
                                <w:numId w:val="0"/>
                              </w:numPr>
                              <w:rPr>
                                <w:color w:val="FFFFFF" w:themeColor="background1"/>
                                <w:sz w:val="18"/>
                                <w:szCs w:val="18"/>
                              </w:rPr>
                            </w:pPr>
                          </w:p>
                          <w:p w14:paraId="050B224F" w14:textId="77777777" w:rsidR="00C95DEB" w:rsidRPr="00910D70" w:rsidRDefault="00C95DEB" w:rsidP="00177B38">
                            <w:pPr>
                              <w:jc w:val="center"/>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9846E" id="Rounded Rectangle 8" o:spid="_x0000_s1029" style="position:absolute;margin-left:22.95pt;margin-top:43.1pt;width:494.6pt;height:311.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" fillcolor="#77b64e [3033]" stroked="f">
                <v:fill color2="#6eaa46 [3177]" rotate="t" colors="0 #81b861;.5 #6fb242;1 #61a235" focus="100%" type="gradient">
                  <o:fill v:ext="view" type="gradientUnscaled"/>
                </v:fill>
                <v:shadow on="t" color="black" opacity="41287f" offset="0,1.5pt"/>
                <v:textbox>
                  <w:txbxContent>
                    <w:p w14:paraId="360F26EA" w14:textId="09C43CC2" w:rsidR="00C95DEB" w:rsidRPr="00AE0425" w:rsidRDefault="00C95DEB" w:rsidP="00177B38">
                      <w:pPr>
                        <w:jc w:val="center"/>
                        <w:rPr>
                          <w:rFonts w:ascii="Corbel" w:hAnsi="Corbel"/>
                          <w:color w:val="FFFFFF" w:themeColor="background1"/>
                          <w:u w:val="single"/>
                        </w:rPr>
                      </w:pPr>
                      <w:r w:rsidRPr="00AE0425">
                        <w:rPr>
                          <w:rFonts w:ascii="Corbel" w:hAnsi="Corbel"/>
                          <w:color w:val="FFFFFF" w:themeColor="background1"/>
                          <w:u w:val="single"/>
                        </w:rPr>
                        <w:t>What to document in the patient record</w:t>
                      </w:r>
                    </w:p>
                    <w:p w14:paraId="3B6206E8" w14:textId="59360396" w:rsidR="00C95DEB" w:rsidRPr="00EE0863" w:rsidRDefault="00EF798E" w:rsidP="00177B38">
                      <w:pPr>
                        <w:pStyle w:val="Bullet"/>
                        <w:rPr>
                          <w:color w:val="FFFFFF" w:themeColor="background1"/>
                        </w:rPr>
                      </w:pPr>
                      <w:hyperlink w:anchor="_Appendix_A:_Risk" w:history="1">
                        <w:r w:rsidR="00C95DEB" w:rsidRPr="00673E50">
                          <w:rPr>
                            <w:rStyle w:val="Hyperlink"/>
                            <w:color w:val="FFFFFF" w:themeColor="background1"/>
                          </w:rPr>
                          <w:t>Risk level</w:t>
                        </w:r>
                      </w:hyperlink>
                      <w:r w:rsidR="00C95DEB" w:rsidRPr="00673E50">
                        <w:rPr>
                          <w:color w:val="FFFFFF" w:themeColor="background1"/>
                        </w:rPr>
                        <w:t xml:space="preserve"> and </w:t>
                      </w:r>
                      <w:r w:rsidR="00C95DEB" w:rsidRPr="00EE0863">
                        <w:rPr>
                          <w:color w:val="FFFFFF" w:themeColor="background1"/>
                        </w:rPr>
                        <w:t>related intervals for pain visits (high risk, at least quarterly, moderate risk, at least semiannually; low-risk, at least annually)</w:t>
                      </w:r>
                    </w:p>
                    <w:p w14:paraId="5C723315" w14:textId="559082E0" w:rsidR="00C95DEB" w:rsidRPr="00EE0863" w:rsidRDefault="00C95DEB" w:rsidP="00177B38">
                      <w:pPr>
                        <w:pStyle w:val="Bullet"/>
                        <w:rPr>
                          <w:color w:val="FFFFFF" w:themeColor="background1"/>
                        </w:rPr>
                      </w:pPr>
                      <w:r w:rsidRPr="00EE0863">
                        <w:rPr>
                          <w:color w:val="FFFFFF" w:themeColor="background1"/>
                        </w:rPr>
                        <w:t>Diagnosis</w:t>
                      </w:r>
                    </w:p>
                    <w:p w14:paraId="40544E01" w14:textId="33E5F420" w:rsidR="00C95DEB" w:rsidRPr="00EE0863" w:rsidRDefault="00C95DEB" w:rsidP="002A2490">
                      <w:pPr>
                        <w:pStyle w:val="Bullet"/>
                        <w:rPr>
                          <w:color w:val="FFFFFF" w:themeColor="background1"/>
                        </w:rPr>
                      </w:pPr>
                      <w:r w:rsidRPr="00EE0863">
                        <w:rPr>
                          <w:color w:val="FFFFFF" w:themeColor="background1"/>
                        </w:rPr>
                        <w:t>Plan for treatment (e.g., physical therapy, opioid medication)</w:t>
                      </w:r>
                    </w:p>
                    <w:p w14:paraId="2ED92E35" w14:textId="339E6EAA" w:rsidR="00C95DEB" w:rsidRPr="00E11AC6" w:rsidRDefault="00C95DEB" w:rsidP="0005465E">
                      <w:pPr>
                        <w:pStyle w:val="Bullet"/>
                        <w:rPr>
                          <w:color w:val="FFFFFF" w:themeColor="background1"/>
                        </w:rPr>
                      </w:pPr>
                      <w:r w:rsidRPr="00E11AC6">
                        <w:rPr>
                          <w:color w:val="FFFFFF" w:themeColor="background1"/>
                        </w:rPr>
                        <w:t xml:space="preserve">If a taper is not initiated by </w:t>
                      </w:r>
                      <w:r>
                        <w:rPr>
                          <w:color w:val="FFFFFF" w:themeColor="background1"/>
                        </w:rPr>
                        <w:t>the end of the 3</w:t>
                      </w:r>
                      <w:r w:rsidRPr="008C4097">
                        <w:rPr>
                          <w:color w:val="FFFFFF" w:themeColor="background1"/>
                          <w:vertAlign w:val="superscript"/>
                        </w:rPr>
                        <w:t>rd</w:t>
                      </w:r>
                      <w:r>
                        <w:rPr>
                          <w:color w:val="FFFFFF" w:themeColor="background1"/>
                        </w:rPr>
                        <w:t xml:space="preserve"> month of caring for the patient</w:t>
                      </w:r>
                      <w:r w:rsidRPr="00E11AC6">
                        <w:rPr>
                          <w:color w:val="FFFFFF" w:themeColor="background1"/>
                        </w:rPr>
                        <w:t>, why the patient’s level of function o</w:t>
                      </w:r>
                      <w:r>
                        <w:rPr>
                          <w:color w:val="FFFFFF" w:themeColor="background1"/>
                        </w:rPr>
                        <w:t>r</w:t>
                      </w:r>
                      <w:r w:rsidRPr="00E11AC6">
                        <w:rPr>
                          <w:color w:val="FFFFFF" w:themeColor="background1"/>
                        </w:rPr>
                        <w:t xml:space="preserve"> pain control justifies continu</w:t>
                      </w:r>
                      <w:r>
                        <w:rPr>
                          <w:color w:val="FFFFFF" w:themeColor="background1"/>
                        </w:rPr>
                        <w:t>ing</w:t>
                      </w:r>
                      <w:r w:rsidRPr="00E11AC6">
                        <w:rPr>
                          <w:color w:val="FFFFFF" w:themeColor="background1"/>
                        </w:rPr>
                        <w:t xml:space="preserve"> opioids</w:t>
                      </w:r>
                    </w:p>
                    <w:p w14:paraId="4F32F373" w14:textId="20E11E74" w:rsidR="00C95DEB" w:rsidRPr="00EE0863" w:rsidRDefault="00C95DEB" w:rsidP="002A2490">
                      <w:pPr>
                        <w:pStyle w:val="Bullet"/>
                        <w:rPr>
                          <w:color w:val="FFFFFF" w:themeColor="background1"/>
                        </w:rPr>
                      </w:pPr>
                      <w:r w:rsidRPr="00EE0863">
                        <w:rPr>
                          <w:color w:val="FFFFFF" w:themeColor="background1"/>
                        </w:rPr>
                        <w:t>That you educated the patient about risks, storage, and safe disposal</w:t>
                      </w:r>
                    </w:p>
                    <w:p w14:paraId="65F64F33" w14:textId="77777777" w:rsidR="00C95DEB" w:rsidRPr="0091310B" w:rsidRDefault="00C95DEB" w:rsidP="004A649C">
                      <w:pPr>
                        <w:pStyle w:val="Bullet"/>
                        <w:rPr>
                          <w:color w:val="FFFFFF" w:themeColor="background1"/>
                        </w:rPr>
                      </w:pPr>
                      <w:r>
                        <w:rPr>
                          <w:color w:val="FFFFFF" w:themeColor="background1"/>
                        </w:rPr>
                        <w:t>Patient agreement signed</w:t>
                      </w:r>
                    </w:p>
                    <w:p w14:paraId="53D877A7" w14:textId="77777777" w:rsidR="00C95DEB" w:rsidRPr="007E3F93" w:rsidRDefault="00C95DEB" w:rsidP="00177B38">
                      <w:pPr>
                        <w:pStyle w:val="Bullet"/>
                        <w:rPr>
                          <w:color w:val="FFFFFF" w:themeColor="background1"/>
                        </w:rPr>
                      </w:pPr>
                      <w:r w:rsidRPr="007E3F93">
                        <w:rPr>
                          <w:color w:val="FFFFFF" w:themeColor="background1"/>
                        </w:rPr>
                        <w:t xml:space="preserve">Concerns identified through checking the PDMP </w:t>
                      </w:r>
                    </w:p>
                    <w:p w14:paraId="4C74CDBC" w14:textId="327328FF" w:rsidR="00C95DEB" w:rsidRDefault="00C95DEB" w:rsidP="00177B38">
                      <w:pPr>
                        <w:pStyle w:val="Bullet"/>
                        <w:rPr>
                          <w:color w:val="FFFFFF" w:themeColor="background1"/>
                        </w:rPr>
                      </w:pPr>
                      <w:r w:rsidRPr="00EE0863">
                        <w:rPr>
                          <w:color w:val="FFFFFF" w:themeColor="background1"/>
                        </w:rPr>
                        <w:t>Justification for</w:t>
                      </w:r>
                      <w:r>
                        <w:rPr>
                          <w:color w:val="FFFFFF" w:themeColor="background1"/>
                        </w:rPr>
                        <w:t>:</w:t>
                      </w:r>
                    </w:p>
                    <w:p w14:paraId="06DA400E" w14:textId="65477344" w:rsidR="00C95DEB" w:rsidRPr="00747A47" w:rsidRDefault="00C95DEB" w:rsidP="00254471">
                      <w:pPr>
                        <w:pStyle w:val="Subbullet"/>
                        <w:rPr>
                          <w:color w:val="FFFFFF" w:themeColor="background1"/>
                        </w:rPr>
                      </w:pPr>
                      <w:r w:rsidRPr="00747A47">
                        <w:rPr>
                          <w:color w:val="FFFFFF" w:themeColor="background1"/>
                        </w:rPr>
                        <w:t>Co-prescribing benzodiazepines, barbiturates, sedatives, carisoprod</w:t>
                      </w:r>
                      <w:r>
                        <w:rPr>
                          <w:color w:val="FFFFFF" w:themeColor="background1"/>
                        </w:rPr>
                        <w:t>o</w:t>
                      </w:r>
                      <w:r w:rsidRPr="00747A47">
                        <w:rPr>
                          <w:color w:val="FFFFFF" w:themeColor="background1"/>
                        </w:rPr>
                        <w:t>l, or non-benzodiazepine hypnotics</w:t>
                      </w:r>
                    </w:p>
                    <w:p w14:paraId="326C99C9" w14:textId="077772AB" w:rsidR="00C95DEB" w:rsidRPr="00747A47" w:rsidRDefault="00C95DEB" w:rsidP="00254471">
                      <w:pPr>
                        <w:pStyle w:val="Subbullet"/>
                        <w:rPr>
                          <w:color w:val="FFFFFF" w:themeColor="background1"/>
                        </w:rPr>
                      </w:pPr>
                      <w:r w:rsidRPr="00747A47">
                        <w:rPr>
                          <w:color w:val="FFFFFF" w:themeColor="background1"/>
                        </w:rPr>
                        <w:t>An opioid dosage ≥50 MED</w:t>
                      </w:r>
                    </w:p>
                    <w:p w14:paraId="5AAC25B8" w14:textId="2C1DFAEC" w:rsidR="00C95DEB" w:rsidRPr="00747A47" w:rsidRDefault="00C95DEB" w:rsidP="00254471">
                      <w:pPr>
                        <w:pStyle w:val="Subbullet"/>
                        <w:rPr>
                          <w:color w:val="FFFFFF" w:themeColor="background1"/>
                        </w:rPr>
                      </w:pPr>
                      <w:r w:rsidRPr="00747A47">
                        <w:rPr>
                          <w:color w:val="FFFFFF" w:themeColor="background1"/>
                        </w:rPr>
                        <w:t>Any deviation from clinic policies</w:t>
                      </w:r>
                    </w:p>
                    <w:p w14:paraId="410AE97D" w14:textId="77777777" w:rsidR="00C95DEB" w:rsidRPr="00177B38" w:rsidRDefault="00C95DEB" w:rsidP="00177B38">
                      <w:pPr>
                        <w:pStyle w:val="Bullet"/>
                        <w:numPr>
                          <w:ilvl w:val="0"/>
                          <w:numId w:val="0"/>
                        </w:numPr>
                        <w:rPr>
                          <w:color w:val="FFFFFF" w:themeColor="background1"/>
                          <w:sz w:val="18"/>
                          <w:szCs w:val="18"/>
                        </w:rPr>
                      </w:pPr>
                    </w:p>
                    <w:p w14:paraId="050B224F" w14:textId="77777777" w:rsidR="00C95DEB" w:rsidRPr="00910D70" w:rsidRDefault="00C95DEB" w:rsidP="00177B38">
                      <w:pPr>
                        <w:jc w:val="center"/>
                        <w:rPr>
                          <w:color w:val="FFFFFF" w:themeColor="background1"/>
                          <w:sz w:val="18"/>
                          <w:szCs w:val="18"/>
                        </w:rPr>
                      </w:pPr>
                    </w:p>
                  </w:txbxContent>
                </v:textbox>
                <w10:wrap type="square" anchorx="margin"/>
              </v:roundrect>
            </w:pict>
          </mc:Fallback>
        </mc:AlternateContent>
      </w:r>
      <w:r w:rsidR="00C95DEB">
        <w:br w:type="page"/>
      </w:r>
    </w:p>
    <w:p w14:paraId="3432E84A" w14:textId="59306DB5" w:rsidR="00BC1297" w:rsidRDefault="00BC1297" w:rsidP="00CC2C3B">
      <w:pPr>
        <w:pStyle w:val="Heading2"/>
        <w:shd w:val="clear" w:color="auto" w:fill="FFF2CC" w:themeFill="accent4" w:themeFillTint="33"/>
      </w:pPr>
      <w:r>
        <w:t>Section 4</w:t>
      </w:r>
    </w:p>
    <w:p w14:paraId="722ACF00" w14:textId="11CDE533" w:rsidR="00B85BC2" w:rsidRDefault="00246F6A" w:rsidP="00CC2C3B">
      <w:pPr>
        <w:pStyle w:val="Subtitle"/>
        <w:shd w:val="clear" w:color="auto" w:fill="FFF2CC" w:themeFill="accent4" w:themeFillTint="33"/>
      </w:pPr>
      <w:r>
        <w:t>Existing clinic p</w:t>
      </w:r>
      <w:r w:rsidR="00B85BC2">
        <w:t>atients</w:t>
      </w:r>
      <w:r w:rsidR="00FF59C2">
        <w:t xml:space="preserve"> on</w:t>
      </w:r>
      <w:r w:rsidR="00B85BC2">
        <w:t xml:space="preserve"> </w:t>
      </w:r>
      <w:r w:rsidR="00347F7F">
        <w:t xml:space="preserve">long-term </w:t>
      </w:r>
      <w:r w:rsidR="00B85BC2">
        <w:t>opioid therapy</w:t>
      </w:r>
      <w:bookmarkEnd w:id="15"/>
      <w:bookmarkEnd w:id="16"/>
    </w:p>
    <w:bookmarkStart w:id="17" w:name="_Hlk1995492"/>
    <w:p w14:paraId="4442D68D" w14:textId="7A7B8369" w:rsidR="003A5097" w:rsidRDefault="00BC1297" w:rsidP="003A5097">
      <w:pPr>
        <w:pStyle w:val="BodyText"/>
      </w:pPr>
      <w:r>
        <w:rPr>
          <w:noProof/>
        </w:rPr>
        <mc:AlternateContent>
          <mc:Choice Requires="wps">
            <w:drawing>
              <wp:anchor distT="0" distB="0" distL="114300" distR="114300" simplePos="0" relativeHeight="251658244" behindDoc="0" locked="0" layoutInCell="1" allowOverlap="1" wp14:anchorId="5DD50BEF" wp14:editId="69E7984A">
                <wp:simplePos x="0" y="0"/>
                <wp:positionH relativeFrom="column">
                  <wp:posOffset>248285</wp:posOffset>
                </wp:positionH>
                <wp:positionV relativeFrom="page">
                  <wp:posOffset>1619885</wp:posOffset>
                </wp:positionV>
                <wp:extent cx="6356985" cy="2861945"/>
                <wp:effectExtent l="57150" t="38100" r="62865" b="71755"/>
                <wp:wrapThrough wrapText="bothSides">
                  <wp:wrapPolygon edited="0">
                    <wp:start x="1100" y="-288"/>
                    <wp:lineTo x="-129" y="-144"/>
                    <wp:lineTo x="-194" y="2157"/>
                    <wp:lineTo x="-194" y="19841"/>
                    <wp:lineTo x="129" y="20560"/>
                    <wp:lineTo x="129" y="20704"/>
                    <wp:lineTo x="906" y="21854"/>
                    <wp:lineTo x="1036" y="21998"/>
                    <wp:lineTo x="20519" y="21998"/>
                    <wp:lineTo x="20584" y="21854"/>
                    <wp:lineTo x="21425" y="20704"/>
                    <wp:lineTo x="21425" y="20560"/>
                    <wp:lineTo x="21749" y="18403"/>
                    <wp:lineTo x="21749" y="4457"/>
                    <wp:lineTo x="21684" y="2300"/>
                    <wp:lineTo x="21684" y="1725"/>
                    <wp:lineTo x="20713" y="-144"/>
                    <wp:lineTo x="20454" y="-288"/>
                    <wp:lineTo x="1100" y="-288"/>
                  </wp:wrapPolygon>
                </wp:wrapThrough>
                <wp:docPr id="4" name="Rounded Rectangle 4"/>
                <wp:cNvGraphicFramePr/>
                <a:graphic xmlns:a="http://schemas.openxmlformats.org/drawingml/2006/main">
                  <a:graphicData uri="http://schemas.microsoft.com/office/word/2010/wordprocessingShape">
                    <wps:wsp>
                      <wps:cNvSpPr/>
                      <wps:spPr>
                        <a:xfrm>
                          <a:off x="0" y="0"/>
                          <a:ext cx="6356985" cy="286194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17918F58" w14:textId="77777777" w:rsidR="00951A45" w:rsidRPr="00AE0425" w:rsidRDefault="00951A45" w:rsidP="00D44CC4">
                            <w:pPr>
                              <w:jc w:val="center"/>
                              <w:rPr>
                                <w:rFonts w:ascii="Corbel" w:hAnsi="Corbel"/>
                                <w:color w:val="FFFFFF" w:themeColor="background1"/>
                                <w:u w:val="single"/>
                              </w:rPr>
                            </w:pPr>
                            <w:r w:rsidRPr="00AE0425">
                              <w:rPr>
                                <w:rFonts w:ascii="Corbel" w:hAnsi="Corbel"/>
                                <w:color w:val="FFFFFF" w:themeColor="background1"/>
                                <w:u w:val="single"/>
                              </w:rPr>
                              <w:t>General rules for opioid prescribing</w:t>
                            </w:r>
                          </w:p>
                          <w:p w14:paraId="4634E6DB" w14:textId="77777777" w:rsidR="00951A45" w:rsidRPr="006B0D52" w:rsidRDefault="00951A45" w:rsidP="00D44CC4">
                            <w:pPr>
                              <w:pStyle w:val="Bullet"/>
                              <w:rPr>
                                <w:color w:val="FFFFFF" w:themeColor="background1"/>
                              </w:rPr>
                            </w:pPr>
                            <w:r w:rsidRPr="006B0D52">
                              <w:rPr>
                                <w:color w:val="FFFFFF" w:themeColor="background1"/>
                              </w:rPr>
                              <w:t>Only prescribe opioids if</w:t>
                            </w:r>
                          </w:p>
                          <w:p w14:paraId="768928C3" w14:textId="77777777" w:rsidR="00951A45" w:rsidRPr="006B0D52" w:rsidRDefault="00951A45" w:rsidP="00D44CC4">
                            <w:pPr>
                              <w:pStyle w:val="Subbullet"/>
                              <w:rPr>
                                <w:color w:val="FFFFFF" w:themeColor="background1"/>
                              </w:rPr>
                            </w:pPr>
                            <w:r w:rsidRPr="006B0D52">
                              <w:rPr>
                                <w:color w:val="FFFFFF" w:themeColor="background1"/>
                              </w:rPr>
                              <w:t>The patient has a diagnosis for chronic pain that will benefit from opioid medication.</w:t>
                            </w:r>
                          </w:p>
                          <w:p w14:paraId="06EDAC71" w14:textId="77777777" w:rsidR="00951A45" w:rsidRPr="006B0D52" w:rsidRDefault="00951A45" w:rsidP="00D44CC4">
                            <w:pPr>
                              <w:pStyle w:val="Subbullet"/>
                              <w:rPr>
                                <w:color w:val="FFFFFF" w:themeColor="background1"/>
                              </w:rPr>
                            </w:pPr>
                            <w:r w:rsidRPr="006B0D52">
                              <w:rPr>
                                <w:color w:val="FFFFFF" w:themeColor="background1"/>
                              </w:rPr>
                              <w:t>It improves the patient’s function or pain.</w:t>
                            </w:r>
                          </w:p>
                          <w:p w14:paraId="66FD183B" w14:textId="77777777" w:rsidR="00951A45" w:rsidRPr="00EE0863" w:rsidRDefault="00951A45" w:rsidP="00D44CC4">
                            <w:pPr>
                              <w:pStyle w:val="Bullet"/>
                              <w:rPr>
                                <w:color w:val="FFFFFF" w:themeColor="background1"/>
                              </w:rPr>
                            </w:pPr>
                            <w:r w:rsidRPr="00EE0863">
                              <w:rPr>
                                <w:color w:val="FFFFFF" w:themeColor="background1"/>
                              </w:rPr>
                              <w:t>Prescribe the lowest effective dose of immediate-release opioids. Avoid doses of ≥50 MED.</w:t>
                            </w:r>
                          </w:p>
                          <w:p w14:paraId="16977D95" w14:textId="59E1F04F" w:rsidR="00951A45" w:rsidRPr="00EE0863" w:rsidRDefault="00951A45" w:rsidP="00D44CC4">
                            <w:pPr>
                              <w:pStyle w:val="Bullet"/>
                              <w:rPr>
                                <w:color w:val="FFFFFF" w:themeColor="background1"/>
                              </w:rPr>
                            </w:pPr>
                            <w:r w:rsidRPr="00EE0863">
                              <w:rPr>
                                <w:color w:val="FFFFFF" w:themeColor="background1"/>
                              </w:rPr>
                              <w:t xml:space="preserve">Do not prescribe opioids for non-specific axial </w:t>
                            </w:r>
                            <w:r>
                              <w:rPr>
                                <w:color w:val="FFFFFF" w:themeColor="background1"/>
                              </w:rPr>
                              <w:t xml:space="preserve">(mechanical) </w:t>
                            </w:r>
                            <w:r w:rsidRPr="00EE0863">
                              <w:rPr>
                                <w:color w:val="FFFFFF" w:themeColor="background1"/>
                              </w:rPr>
                              <w:t>low back pain, fibromyalgia, and chronic headaches.</w:t>
                            </w:r>
                          </w:p>
                          <w:p w14:paraId="63648AC0" w14:textId="77777777" w:rsidR="00951A45" w:rsidRPr="00802FEE" w:rsidRDefault="00951A45" w:rsidP="00802FEE">
                            <w:pPr>
                              <w:pStyle w:val="Bullet"/>
                              <w:rPr>
                                <w:color w:val="FFFFFF" w:themeColor="background1"/>
                              </w:rPr>
                            </w:pPr>
                            <w:r w:rsidRPr="00802FEE">
                              <w:rPr>
                                <w:color w:val="FFFFFF" w:themeColor="background1"/>
                              </w:rPr>
                              <w:t>Do not refill opioid prescriptions without seeing the patient.</w:t>
                            </w:r>
                          </w:p>
                          <w:p w14:paraId="4CB9710E" w14:textId="77777777" w:rsidR="00951A45" w:rsidRPr="00EE0863" w:rsidRDefault="00951A45" w:rsidP="00D44CC4">
                            <w:pPr>
                              <w:pStyle w:val="Bullet"/>
                              <w:keepNext/>
                              <w:keepLines/>
                              <w:rPr>
                                <w:color w:val="FFFFFF" w:themeColor="background1"/>
                              </w:rPr>
                            </w:pPr>
                            <w:r w:rsidRPr="00EE0863">
                              <w:rPr>
                                <w:color w:val="FFFFFF" w:themeColor="background1"/>
                              </w:rPr>
                              <w:t>Do not co-prescribe opioids and the following medications without discussion of risks, consultation with the patient’s other prescribers, and consideration of tapering:</w:t>
                            </w:r>
                          </w:p>
                          <w:p w14:paraId="2C33D620" w14:textId="7930BCB8" w:rsidR="00951A45" w:rsidRPr="003A5097" w:rsidRDefault="00951A45" w:rsidP="00E03FB7">
                            <w:pPr>
                              <w:pStyle w:val="Subbullet"/>
                              <w:keepLines/>
                              <w:rPr>
                                <w:color w:val="FFFFFF" w:themeColor="background1"/>
                              </w:rPr>
                            </w:pPr>
                            <w:r w:rsidRPr="003A5097">
                              <w:rPr>
                                <w:color w:val="FFFFFF" w:themeColor="background1"/>
                              </w:rPr>
                              <w:t xml:space="preserve">Benzodiazepines, barbiturates, sedatives, carisoprodol, </w:t>
                            </w:r>
                            <w:r>
                              <w:rPr>
                                <w:color w:val="FFFFFF" w:themeColor="background1"/>
                              </w:rPr>
                              <w:t>n</w:t>
                            </w:r>
                            <w:r w:rsidRPr="003A5097">
                              <w:rPr>
                                <w:color w:val="FFFFFF" w:themeColor="background1"/>
                              </w:rPr>
                              <w:t>on-benzodiazepine hypnotics</w:t>
                            </w:r>
                          </w:p>
                          <w:p w14:paraId="5BAA6676" w14:textId="77777777" w:rsidR="00951A45" w:rsidRPr="00EE0863" w:rsidRDefault="00951A45" w:rsidP="00D44CC4">
                            <w:pPr>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50BEF" id="Rounded Rectangle 4" o:spid="_x0000_s1030" style="position:absolute;margin-left:19.55pt;margin-top:127.55pt;width:500.55pt;height:225.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" fillcolor="#65a0d7 [3028]" stroked="f">
                <v:fill color2="#5898d4 [3172]" rotate="t" colors="0 #71a6db;.5 #559bdb;1 #438ac9" focus="100%" type="gradient">
                  <o:fill v:ext="view" type="gradientUnscaled"/>
                </v:fill>
                <v:shadow on="t" color="black" opacity="41287f" offset="0,1.5pt"/>
                <v:textbox>
                  <w:txbxContent>
                    <w:p w14:paraId="17918F58" w14:textId="77777777" w:rsidR="00951A45" w:rsidRPr="00AE0425" w:rsidRDefault="00951A45" w:rsidP="00D44CC4">
                      <w:pPr>
                        <w:jc w:val="center"/>
                        <w:rPr>
                          <w:rFonts w:ascii="Corbel" w:hAnsi="Corbel"/>
                          <w:color w:val="FFFFFF" w:themeColor="background1"/>
                          <w:u w:val="single"/>
                        </w:rPr>
                      </w:pPr>
                      <w:r w:rsidRPr="00AE0425">
                        <w:rPr>
                          <w:rFonts w:ascii="Corbel" w:hAnsi="Corbel"/>
                          <w:color w:val="FFFFFF" w:themeColor="background1"/>
                          <w:u w:val="single"/>
                        </w:rPr>
                        <w:t>General rules for opioid prescribing</w:t>
                      </w:r>
                    </w:p>
                    <w:p w14:paraId="4634E6DB" w14:textId="77777777" w:rsidR="00951A45" w:rsidRPr="006B0D52" w:rsidRDefault="00951A45" w:rsidP="00D44CC4">
                      <w:pPr>
                        <w:pStyle w:val="Bullet"/>
                        <w:rPr>
                          <w:color w:val="FFFFFF" w:themeColor="background1"/>
                        </w:rPr>
                      </w:pPr>
                      <w:r w:rsidRPr="006B0D52">
                        <w:rPr>
                          <w:color w:val="FFFFFF" w:themeColor="background1"/>
                        </w:rPr>
                        <w:t>Only prescribe opioids if</w:t>
                      </w:r>
                    </w:p>
                    <w:p w14:paraId="768928C3" w14:textId="77777777" w:rsidR="00951A45" w:rsidRPr="006B0D52" w:rsidRDefault="00951A45" w:rsidP="00D44CC4">
                      <w:pPr>
                        <w:pStyle w:val="Subbullet"/>
                        <w:rPr>
                          <w:color w:val="FFFFFF" w:themeColor="background1"/>
                        </w:rPr>
                      </w:pPr>
                      <w:r w:rsidRPr="006B0D52">
                        <w:rPr>
                          <w:color w:val="FFFFFF" w:themeColor="background1"/>
                        </w:rPr>
                        <w:t>The patient has a diagnosis for chronic pain that will benefit from opioid medication.</w:t>
                      </w:r>
                    </w:p>
                    <w:p w14:paraId="06EDAC71" w14:textId="77777777" w:rsidR="00951A45" w:rsidRPr="006B0D52" w:rsidRDefault="00951A45" w:rsidP="00D44CC4">
                      <w:pPr>
                        <w:pStyle w:val="Subbullet"/>
                        <w:rPr>
                          <w:color w:val="FFFFFF" w:themeColor="background1"/>
                        </w:rPr>
                      </w:pPr>
                      <w:r w:rsidRPr="006B0D52">
                        <w:rPr>
                          <w:color w:val="FFFFFF" w:themeColor="background1"/>
                        </w:rPr>
                        <w:t>It improves the patient’s function or pain.</w:t>
                      </w:r>
                    </w:p>
                    <w:p w14:paraId="66FD183B" w14:textId="77777777" w:rsidR="00951A45" w:rsidRPr="00EE0863" w:rsidRDefault="00951A45" w:rsidP="00D44CC4">
                      <w:pPr>
                        <w:pStyle w:val="Bullet"/>
                        <w:rPr>
                          <w:color w:val="FFFFFF" w:themeColor="background1"/>
                        </w:rPr>
                      </w:pPr>
                      <w:r w:rsidRPr="00EE0863">
                        <w:rPr>
                          <w:color w:val="FFFFFF" w:themeColor="background1"/>
                        </w:rPr>
                        <w:t>Prescribe the lowest effective dose of immediate-release opioids. Avoid doses of ≥50 MED.</w:t>
                      </w:r>
                    </w:p>
                    <w:p w14:paraId="16977D95" w14:textId="59E1F04F" w:rsidR="00951A45" w:rsidRPr="00EE0863" w:rsidRDefault="00951A45" w:rsidP="00D44CC4">
                      <w:pPr>
                        <w:pStyle w:val="Bullet"/>
                        <w:rPr>
                          <w:color w:val="FFFFFF" w:themeColor="background1"/>
                        </w:rPr>
                      </w:pPr>
                      <w:r w:rsidRPr="00EE0863">
                        <w:rPr>
                          <w:color w:val="FFFFFF" w:themeColor="background1"/>
                        </w:rPr>
                        <w:t xml:space="preserve">Do not prescribe opioids for non-specific axial </w:t>
                      </w:r>
                      <w:r>
                        <w:rPr>
                          <w:color w:val="FFFFFF" w:themeColor="background1"/>
                        </w:rPr>
                        <w:t xml:space="preserve">(mechanical) </w:t>
                      </w:r>
                      <w:r w:rsidRPr="00EE0863">
                        <w:rPr>
                          <w:color w:val="FFFFFF" w:themeColor="background1"/>
                        </w:rPr>
                        <w:t>low back pain, fibromyalgia, and chronic headaches.</w:t>
                      </w:r>
                    </w:p>
                    <w:p w14:paraId="63648AC0" w14:textId="77777777" w:rsidR="00951A45" w:rsidRPr="00802FEE" w:rsidRDefault="00951A45" w:rsidP="00802FEE">
                      <w:pPr>
                        <w:pStyle w:val="Bullet"/>
                        <w:rPr>
                          <w:color w:val="FFFFFF" w:themeColor="background1"/>
                        </w:rPr>
                      </w:pPr>
                      <w:r w:rsidRPr="00802FEE">
                        <w:rPr>
                          <w:color w:val="FFFFFF" w:themeColor="background1"/>
                        </w:rPr>
                        <w:t>Do not refill opioid prescriptions without seeing the patient.</w:t>
                      </w:r>
                    </w:p>
                    <w:p w14:paraId="4CB9710E" w14:textId="77777777" w:rsidR="00951A45" w:rsidRPr="00EE0863" w:rsidRDefault="00951A45" w:rsidP="00D44CC4">
                      <w:pPr>
                        <w:pStyle w:val="Bullet"/>
                        <w:keepNext/>
                        <w:keepLines/>
                        <w:rPr>
                          <w:color w:val="FFFFFF" w:themeColor="background1"/>
                        </w:rPr>
                      </w:pPr>
                      <w:r w:rsidRPr="00EE0863">
                        <w:rPr>
                          <w:color w:val="FFFFFF" w:themeColor="background1"/>
                        </w:rPr>
                        <w:t>Do not co-prescribe opioids and the following medications without discussion of risks, consultation with the patient’s other prescribers, and consideration of tapering:</w:t>
                      </w:r>
                    </w:p>
                    <w:p w14:paraId="2C33D620" w14:textId="7930BCB8" w:rsidR="00951A45" w:rsidRPr="003A5097" w:rsidRDefault="00951A45" w:rsidP="00E03FB7">
                      <w:pPr>
                        <w:pStyle w:val="Subbullet"/>
                        <w:keepLines/>
                        <w:rPr>
                          <w:color w:val="FFFFFF" w:themeColor="background1"/>
                        </w:rPr>
                      </w:pPr>
                      <w:r w:rsidRPr="003A5097">
                        <w:rPr>
                          <w:color w:val="FFFFFF" w:themeColor="background1"/>
                        </w:rPr>
                        <w:t xml:space="preserve">Benzodiazepines, barbiturates, sedatives, carisoprodol, </w:t>
                      </w:r>
                      <w:r>
                        <w:rPr>
                          <w:color w:val="FFFFFF" w:themeColor="background1"/>
                        </w:rPr>
                        <w:t>n</w:t>
                      </w:r>
                      <w:r w:rsidRPr="003A5097">
                        <w:rPr>
                          <w:color w:val="FFFFFF" w:themeColor="background1"/>
                        </w:rPr>
                        <w:t>on-benzodiazepine hypnotics</w:t>
                      </w:r>
                    </w:p>
                    <w:p w14:paraId="5BAA6676" w14:textId="77777777" w:rsidR="00951A45" w:rsidRPr="00EE0863" w:rsidRDefault="00951A45" w:rsidP="00D44CC4">
                      <w:pPr>
                        <w:jc w:val="center"/>
                        <w:rPr>
                          <w:color w:val="FFFFFF" w:themeColor="background1"/>
                          <w:sz w:val="20"/>
                          <w:szCs w:val="20"/>
                        </w:rPr>
                      </w:pPr>
                    </w:p>
                  </w:txbxContent>
                </v:textbox>
                <w10:wrap type="through" anchory="page"/>
              </v:roundrect>
            </w:pict>
          </mc:Fallback>
        </mc:AlternateContent>
      </w:r>
      <w:r w:rsidR="003A5097">
        <w:t xml:space="preserve">This section covers how to </w:t>
      </w:r>
      <w:r w:rsidR="00EC466B">
        <w:t xml:space="preserve">provide guideline-consistent </w:t>
      </w:r>
      <w:r w:rsidR="003A5097">
        <w:t>care for patients already in your practice on long-term opioid therapy.</w:t>
      </w:r>
    </w:p>
    <w:p w14:paraId="44DB494B" w14:textId="437A598A" w:rsidR="004938E2" w:rsidRPr="004938E2" w:rsidRDefault="004938E2" w:rsidP="004938E2">
      <w:pPr>
        <w:pStyle w:val="Heading3"/>
      </w:pPr>
      <w:r>
        <w:t xml:space="preserve">Opioid </w:t>
      </w:r>
      <w:r w:rsidR="00C74BD3">
        <w:t xml:space="preserve">prescriptions </w:t>
      </w:r>
      <w:r>
        <w:t xml:space="preserve">for </w:t>
      </w:r>
      <w:r w:rsidR="00D44CC4">
        <w:t>existing</w:t>
      </w:r>
      <w:r>
        <w:t xml:space="preserve"> patients</w:t>
      </w:r>
    </w:p>
    <w:p w14:paraId="51656DE6" w14:textId="243D94AB" w:rsidR="004938E2" w:rsidRPr="00401870" w:rsidRDefault="004938E2" w:rsidP="004938E2">
      <w:pPr>
        <w:pStyle w:val="Bullet"/>
        <w:spacing w:line="240" w:lineRule="auto"/>
        <w:rPr>
          <w:rFonts w:cs="TradeGothic CondEighteen"/>
          <w:color w:val="000000"/>
        </w:rPr>
      </w:pPr>
      <w:r>
        <w:t xml:space="preserve">Do not provide an opioid refill until the patient has an up-to-date opioid </w:t>
      </w:r>
      <w:r w:rsidRPr="004B47BF">
        <w:rPr>
          <w:rStyle w:val="Strong"/>
        </w:rPr>
        <w:t xml:space="preserve">patient agreement, urine drug test, and prescription </w:t>
      </w:r>
      <w:r w:rsidR="004C6841" w:rsidRPr="004B47BF">
        <w:rPr>
          <w:rStyle w:val="Strong"/>
        </w:rPr>
        <w:t xml:space="preserve">drug </w:t>
      </w:r>
      <w:r w:rsidRPr="004B47BF">
        <w:rPr>
          <w:rStyle w:val="Strong"/>
        </w:rPr>
        <w:t>monitoring program</w:t>
      </w:r>
      <w:r>
        <w:t xml:space="preserve"> check. Refer to the </w:t>
      </w:r>
      <w:hyperlink w:anchor="_Table_2:_Assessment" w:history="1">
        <w:r w:rsidRPr="00623813">
          <w:rPr>
            <w:rStyle w:val="Hyperlink"/>
          </w:rPr>
          <w:t>assessment schedule</w:t>
        </w:r>
      </w:hyperlink>
      <w:r>
        <w:t xml:space="preserve"> table for timing requirements. </w:t>
      </w:r>
    </w:p>
    <w:p w14:paraId="3B35FEB3" w14:textId="5271BAD2" w:rsidR="004938E2" w:rsidRDefault="006B0D52" w:rsidP="004938E2">
      <w:pPr>
        <w:pStyle w:val="Bullet"/>
        <w:spacing w:line="240" w:lineRule="auto"/>
      </w:pPr>
      <w:r>
        <w:t>Consider w</w:t>
      </w:r>
      <w:r w:rsidR="004938E2">
        <w:t>rit</w:t>
      </w:r>
      <w:r>
        <w:t>ing</w:t>
      </w:r>
      <w:r w:rsidR="004938E2">
        <w:t xml:space="preserve"> </w:t>
      </w:r>
      <w:r w:rsidR="004938E2" w:rsidRPr="004B47BF">
        <w:rPr>
          <w:rStyle w:val="Strong"/>
        </w:rPr>
        <w:t>prescriptions for 28 day</w:t>
      </w:r>
      <w:r w:rsidRPr="004B47BF">
        <w:rPr>
          <w:rStyle w:val="Strong"/>
        </w:rPr>
        <w:t xml:space="preserve"> cycles</w:t>
      </w:r>
      <w:r>
        <w:rPr>
          <w:b/>
        </w:rPr>
        <w:t xml:space="preserve"> </w:t>
      </w:r>
      <w:r w:rsidRPr="009A13B8">
        <w:t>to avoid running out of medications on weekends.</w:t>
      </w:r>
      <w:r w:rsidR="00EE20A4" w:rsidRPr="00EE20A4">
        <w:rPr>
          <w:noProof/>
        </w:rPr>
        <w:t xml:space="preserve"> </w:t>
      </w:r>
    </w:p>
    <w:p w14:paraId="2178F351" w14:textId="3A3F8D0B" w:rsidR="004938E2" w:rsidRDefault="004938E2" w:rsidP="004938E2">
      <w:pPr>
        <w:pStyle w:val="Bullet"/>
        <w:spacing w:line="240" w:lineRule="auto"/>
      </w:pPr>
      <w:r w:rsidRPr="004B47BF">
        <w:rPr>
          <w:rStyle w:val="Strong"/>
        </w:rPr>
        <w:t>Within 1 to 4 weeks of increasing opioid dosage</w:t>
      </w:r>
      <w:r>
        <w:t xml:space="preserve">, evaluate benefits and risks; </w:t>
      </w:r>
      <w:r w:rsidRPr="00261DEE">
        <w:rPr>
          <w:b/>
          <w:i/>
          <w:u w:val="single"/>
        </w:rPr>
        <w:t>only</w:t>
      </w:r>
      <w:r>
        <w:t xml:space="preserve"> continue increased dose </w:t>
      </w:r>
      <w:r w:rsidRPr="00483258">
        <w:t>if there is clinically meaningful improvement in pain and function that outweighs risks to</w:t>
      </w:r>
      <w:r>
        <w:t xml:space="preserve"> the</w:t>
      </w:r>
      <w:r w:rsidRPr="00483258">
        <w:t xml:space="preserve"> patient</w:t>
      </w:r>
      <w:r>
        <w:t>.</w:t>
      </w:r>
    </w:p>
    <w:p w14:paraId="3B03EE38" w14:textId="7960B05F" w:rsidR="009A047E" w:rsidRPr="00802FEE" w:rsidRDefault="00A23A2E" w:rsidP="00BA66C7">
      <w:pPr>
        <w:pStyle w:val="Bullet"/>
      </w:pPr>
      <w:r>
        <w:t xml:space="preserve">If the patient has an MED of 90 to 119 MED/day, consider a </w:t>
      </w:r>
      <w:r w:rsidRPr="004B47BF">
        <w:rPr>
          <w:rStyle w:val="Strong"/>
        </w:rPr>
        <w:t>pain specialist consultation</w:t>
      </w:r>
      <w:r>
        <w:t xml:space="preserve">. A pain specialist consultation is required at a dose of ≥ 120 MED/day </w:t>
      </w:r>
      <w:r w:rsidR="00BA66C7" w:rsidRPr="00802FEE">
        <w:t xml:space="preserve">unless </w:t>
      </w:r>
      <w:r w:rsidR="00BA66C7">
        <w:t xml:space="preserve">the patient is </w:t>
      </w:r>
      <w:r w:rsidR="00BA66C7" w:rsidRPr="00802FEE">
        <w:t xml:space="preserve">following a tapering schedule, treatment is for short-term acute pain, pain and function </w:t>
      </w:r>
      <w:r w:rsidR="00BA66C7">
        <w:t xml:space="preserve">are </w:t>
      </w:r>
      <w:r w:rsidR="00BA66C7" w:rsidRPr="00802FEE">
        <w:t>stable with a non-escalating dose</w:t>
      </w:r>
      <w:r w:rsidR="00BA66C7">
        <w:t xml:space="preserve"> of opioids</w:t>
      </w:r>
      <w:r w:rsidR="00BA66C7" w:rsidRPr="00802FEE">
        <w:t xml:space="preserve">, or reasonable attempts to obtain consultation </w:t>
      </w:r>
      <w:r w:rsidR="00BA66C7">
        <w:t xml:space="preserve">have failed. </w:t>
      </w:r>
    </w:p>
    <w:p w14:paraId="08619E87" w14:textId="5F2E437D" w:rsidR="004938E2" w:rsidRDefault="004938E2" w:rsidP="004938E2">
      <w:pPr>
        <w:pStyle w:val="Bullet"/>
        <w:spacing w:line="240" w:lineRule="auto"/>
      </w:pPr>
      <w:r>
        <w:t xml:space="preserve">Patients should receive prescription refills from only </w:t>
      </w:r>
      <w:r w:rsidRPr="004B47BF">
        <w:rPr>
          <w:rStyle w:val="Strong"/>
        </w:rPr>
        <w:t>one clinician</w:t>
      </w:r>
      <w:r>
        <w:t xml:space="preserve"> (or their designee if not available).</w:t>
      </w:r>
    </w:p>
    <w:p w14:paraId="240B4B28" w14:textId="516641B1" w:rsidR="004938E2" w:rsidRDefault="009A13B8" w:rsidP="004938E2">
      <w:pPr>
        <w:pStyle w:val="Bullet"/>
        <w:spacing w:line="240" w:lineRule="auto"/>
      </w:pPr>
      <w:r>
        <w:t>If reasonable, p</w:t>
      </w:r>
      <w:r w:rsidR="004938E2">
        <w:t xml:space="preserve">rescriptions should be refilled at </w:t>
      </w:r>
      <w:r>
        <w:t xml:space="preserve">a designated </w:t>
      </w:r>
      <w:r w:rsidRPr="004B47BF">
        <w:rPr>
          <w:rStyle w:val="Strong"/>
        </w:rPr>
        <w:t>single</w:t>
      </w:r>
      <w:r w:rsidR="004938E2" w:rsidRPr="004B47BF">
        <w:rPr>
          <w:rStyle w:val="Strong"/>
        </w:rPr>
        <w:t xml:space="preserve"> pharmacy</w:t>
      </w:r>
      <w:r w:rsidR="004938E2">
        <w:t>.</w:t>
      </w:r>
    </w:p>
    <w:p w14:paraId="604EF427" w14:textId="6DA949D7" w:rsidR="004938E2" w:rsidRDefault="004938E2" w:rsidP="004938E2">
      <w:pPr>
        <w:pStyle w:val="Bullet"/>
        <w:spacing w:line="240" w:lineRule="auto"/>
      </w:pPr>
      <w:r>
        <w:t xml:space="preserve">Include </w:t>
      </w:r>
      <w:r w:rsidRPr="001151CE">
        <w:rPr>
          <w:rStyle w:val="Strong"/>
        </w:rPr>
        <w:t>indications</w:t>
      </w:r>
      <w:r>
        <w:t xml:space="preserve"> for medication use on the prescription. </w:t>
      </w:r>
    </w:p>
    <w:p w14:paraId="4FF965F7" w14:textId="6B533479" w:rsidR="004938E2" w:rsidRDefault="009A13B8" w:rsidP="004938E2">
      <w:pPr>
        <w:pStyle w:val="Bullet"/>
        <w:spacing w:line="240" w:lineRule="auto"/>
      </w:pPr>
      <w:r>
        <w:t xml:space="preserve">Require that individuals </w:t>
      </w:r>
      <w:r w:rsidRPr="001151CE">
        <w:rPr>
          <w:rStyle w:val="Strong"/>
        </w:rPr>
        <w:t>picking up an opioid prescription</w:t>
      </w:r>
      <w:r>
        <w:t xml:space="preserve"> in the clinic be designated and identifiable.</w:t>
      </w:r>
    </w:p>
    <w:p w14:paraId="2DC9A0DA" w14:textId="034AD5CB" w:rsidR="004938E2" w:rsidRDefault="004938E2" w:rsidP="004938E2">
      <w:pPr>
        <w:pStyle w:val="Bullet"/>
        <w:spacing w:line="240" w:lineRule="auto"/>
      </w:pPr>
      <w:r>
        <w:t xml:space="preserve">Require </w:t>
      </w:r>
      <w:r w:rsidRPr="001151CE">
        <w:rPr>
          <w:rStyle w:val="Strong"/>
        </w:rPr>
        <w:t>3 business days’ notice</w:t>
      </w:r>
      <w:r>
        <w:t xml:space="preserve"> for a medication refill.</w:t>
      </w:r>
    </w:p>
    <w:p w14:paraId="2B2CA928" w14:textId="7F1BA81C" w:rsidR="004938E2" w:rsidRPr="00261DEE" w:rsidRDefault="004938E2" w:rsidP="004938E2">
      <w:pPr>
        <w:pStyle w:val="Bullet"/>
        <w:spacing w:line="240" w:lineRule="auto"/>
        <w:rPr>
          <w:rFonts w:cs="TradeGothic CondEighteen"/>
          <w:color w:val="000000"/>
        </w:rPr>
      </w:pPr>
      <w:r>
        <w:t>Do not r</w:t>
      </w:r>
      <w:r w:rsidRPr="00346593">
        <w:t>efill</w:t>
      </w:r>
      <w:r>
        <w:t xml:space="preserve"> opioids </w:t>
      </w:r>
      <w:r w:rsidRPr="00346593">
        <w:t xml:space="preserve">for </w:t>
      </w:r>
      <w:r w:rsidRPr="001151CE">
        <w:rPr>
          <w:rStyle w:val="Strong"/>
        </w:rPr>
        <w:t>lost, stolen, spilled</w:t>
      </w:r>
      <w:r w:rsidRPr="00346593">
        <w:t>, etc. medications</w:t>
      </w:r>
      <w:r>
        <w:t xml:space="preserve"> except in </w:t>
      </w:r>
      <w:r w:rsidRPr="00346593">
        <w:t>extraordinary circumstances (e.g., fire, natural disaster, etc.)</w:t>
      </w:r>
      <w:r>
        <w:t>.</w:t>
      </w:r>
    </w:p>
    <w:p w14:paraId="6B6234D3" w14:textId="01A537B4" w:rsidR="004938E2" w:rsidRPr="00664C06" w:rsidRDefault="004938E2" w:rsidP="004938E2">
      <w:pPr>
        <w:pStyle w:val="Bullet"/>
        <w:spacing w:line="240" w:lineRule="auto"/>
        <w:rPr>
          <w:rFonts w:cs="TradeGothic CondEighteen"/>
          <w:color w:val="000000"/>
        </w:rPr>
      </w:pPr>
      <w:r>
        <w:t xml:space="preserve">If patient has </w:t>
      </w:r>
      <w:r w:rsidR="00C74BD3">
        <w:t xml:space="preserve">had a prior </w:t>
      </w:r>
      <w:r w:rsidR="00C74BD3" w:rsidRPr="00C74BD3">
        <w:rPr>
          <w:rStyle w:val="Strong"/>
        </w:rPr>
        <w:t>overdose</w:t>
      </w:r>
      <w:r w:rsidR="00C74BD3">
        <w:t xml:space="preserve"> occurrence</w:t>
      </w:r>
      <w:r w:rsidR="00765A09">
        <w:t>,</w:t>
      </w:r>
      <w:r>
        <w:t xml:space="preserve"> assess contributing factor</w:t>
      </w:r>
      <w:r w:rsidR="00EE687E">
        <w:t xml:space="preserve">s; </w:t>
      </w:r>
      <w:r w:rsidR="00612D9B">
        <w:t>prior overdose is a high-risk factor for</w:t>
      </w:r>
      <w:r w:rsidR="00EE687E">
        <w:t xml:space="preserve"> a</w:t>
      </w:r>
      <w:r w:rsidR="00612D9B">
        <w:t xml:space="preserve"> repeat overdose</w:t>
      </w:r>
      <w:r w:rsidR="00EE687E">
        <w:t xml:space="preserve"> event</w:t>
      </w:r>
      <w:r w:rsidR="00612D9B">
        <w:t>.</w:t>
      </w:r>
      <w:r w:rsidR="007F4318">
        <w:t xml:space="preserve"> </w:t>
      </w:r>
      <w:r w:rsidR="00A40B0B">
        <w:t xml:space="preserve">Screen for alcohol use disorder, opioid use disorder, or other substance use disorder, and treat accordingly. </w:t>
      </w:r>
      <w:r>
        <w:t xml:space="preserve">If opioid </w:t>
      </w:r>
      <w:r w:rsidR="00A40B0B">
        <w:t>use disorder is present,</w:t>
      </w:r>
      <w:r>
        <w:t xml:space="preserve"> discuss with patient and arrange treatment with buprenorphine or methadone</w:t>
      </w:r>
      <w:r w:rsidR="00B453A5">
        <w:t xml:space="preserve">. </w:t>
      </w:r>
      <w:r w:rsidR="00612D9B">
        <w:t xml:space="preserve">Strongly consider dose reduction and prescribe naloxone. </w:t>
      </w:r>
    </w:p>
    <w:p w14:paraId="4055F4AC" w14:textId="3DC6E007" w:rsidR="00A40B0B" w:rsidRDefault="004938E2" w:rsidP="004938E2">
      <w:pPr>
        <w:pStyle w:val="Bullet"/>
        <w:spacing w:line="240" w:lineRule="auto"/>
      </w:pPr>
      <w:r>
        <w:t xml:space="preserve">Do not prescribe opioids if a patient is </w:t>
      </w:r>
      <w:r w:rsidRPr="001151CE">
        <w:rPr>
          <w:rStyle w:val="Strong"/>
        </w:rPr>
        <w:t>arrested or incarcerated</w:t>
      </w:r>
      <w:r>
        <w:t xml:space="preserve"> for selling prescription drugs. </w:t>
      </w:r>
    </w:p>
    <w:p w14:paraId="319185EE" w14:textId="40465235" w:rsidR="004938E2" w:rsidRDefault="00A40B0B" w:rsidP="004938E2">
      <w:pPr>
        <w:pStyle w:val="Bullet"/>
        <w:spacing w:line="240" w:lineRule="auto"/>
      </w:pPr>
      <w:r>
        <w:t xml:space="preserve">If you suspect </w:t>
      </w:r>
      <w:r w:rsidRPr="001151CE">
        <w:rPr>
          <w:rStyle w:val="Strong"/>
        </w:rPr>
        <w:t>diversion</w:t>
      </w:r>
      <w:r>
        <w:t>, c</w:t>
      </w:r>
      <w:r w:rsidR="004938E2">
        <w:t>arefully assess if the patient is taking the prescribed opioids by random urine drug test</w:t>
      </w:r>
      <w:r>
        <w:t>ing</w:t>
      </w:r>
      <w:r w:rsidR="004938E2">
        <w:t xml:space="preserve"> and pill counts.</w:t>
      </w:r>
      <w:r>
        <w:t xml:space="preserve"> If you believe diversion is occurring, do not prescribe opioids. </w:t>
      </w:r>
      <w:r w:rsidR="004938E2">
        <w:t xml:space="preserve">   </w:t>
      </w:r>
    </w:p>
    <w:p w14:paraId="79AD2D5C" w14:textId="4940DE99" w:rsidR="004938E2" w:rsidRPr="00A42244" w:rsidRDefault="004938E2" w:rsidP="004938E2">
      <w:pPr>
        <w:pStyle w:val="Heading3"/>
      </w:pPr>
      <w:r>
        <w:t xml:space="preserve">Care processes for </w:t>
      </w:r>
      <w:r w:rsidR="00D44CC4">
        <w:t>existing</w:t>
      </w:r>
      <w:r>
        <w:t xml:space="preserve"> patients</w:t>
      </w:r>
    </w:p>
    <w:p w14:paraId="7509F80E" w14:textId="3C05B062" w:rsidR="004938E2" w:rsidRPr="007F6CD8" w:rsidRDefault="004938E2" w:rsidP="004938E2">
      <w:pPr>
        <w:pStyle w:val="Bullet"/>
        <w:spacing w:line="240" w:lineRule="auto"/>
      </w:pPr>
      <w:r>
        <w:t xml:space="preserve">Set </w:t>
      </w:r>
      <w:r w:rsidRPr="001151CE">
        <w:rPr>
          <w:rStyle w:val="Strong"/>
        </w:rPr>
        <w:t>chronic pain visit intervals</w:t>
      </w:r>
      <w:r>
        <w:t xml:space="preserve"> according to </w:t>
      </w:r>
      <w:hyperlink w:anchor="_Appendix_A:_Risk" w:history="1">
        <w:r w:rsidRPr="007F6CD8">
          <w:rPr>
            <w:rStyle w:val="Hyperlink"/>
          </w:rPr>
          <w:t>risk level</w:t>
        </w:r>
      </w:hyperlink>
      <w:r>
        <w:t xml:space="preserve"> </w:t>
      </w:r>
      <w:r w:rsidRPr="007F6CD8">
        <w:t>(high risk, at least quarterly</w:t>
      </w:r>
      <w:r w:rsidR="00EA412C">
        <w:t>;</w:t>
      </w:r>
      <w:r w:rsidRPr="007F6CD8">
        <w:t xml:space="preserve"> moderate risk, at least semiannually; low-risk, at least annually)</w:t>
      </w:r>
    </w:p>
    <w:p w14:paraId="1A7E27C6" w14:textId="3C3EB294" w:rsidR="004938E2" w:rsidRDefault="004938E2" w:rsidP="004938E2">
      <w:pPr>
        <w:pStyle w:val="Bullet"/>
        <w:spacing w:line="240" w:lineRule="auto"/>
      </w:pPr>
      <w:r>
        <w:t xml:space="preserve">Conduct </w:t>
      </w:r>
      <w:r w:rsidRPr="001151CE">
        <w:rPr>
          <w:rStyle w:val="Strong"/>
        </w:rPr>
        <w:t>patient assessments</w:t>
      </w:r>
      <w:r>
        <w:t xml:space="preserve"> according to the </w:t>
      </w:r>
      <w:r w:rsidR="00182E59">
        <w:t xml:space="preserve">suggested </w:t>
      </w:r>
      <w:r>
        <w:t xml:space="preserve">opioid management </w:t>
      </w:r>
      <w:hyperlink w:anchor="_Suggested_opioid_management" w:history="1">
        <w:r w:rsidRPr="00515C63">
          <w:rPr>
            <w:rStyle w:val="Hyperlink"/>
            <w:b/>
          </w:rPr>
          <w:t>assessment schedule</w:t>
        </w:r>
      </w:hyperlink>
      <w:r>
        <w:rPr>
          <w:b/>
        </w:rPr>
        <w:t xml:space="preserve"> </w:t>
      </w:r>
      <w:r w:rsidRPr="00515C63">
        <w:t>below</w:t>
      </w:r>
      <w:r>
        <w:t>.</w:t>
      </w:r>
    </w:p>
    <w:p w14:paraId="03B222EE" w14:textId="3807D33C" w:rsidR="004938E2" w:rsidRPr="00945BE1" w:rsidRDefault="00C95DEB" w:rsidP="004938E2">
      <w:pPr>
        <w:pStyle w:val="Bullet"/>
      </w:pPr>
      <w:r>
        <w:rPr>
          <w:noProof/>
        </w:rPr>
        <mc:AlternateContent>
          <mc:Choice Requires="wps">
            <w:drawing>
              <wp:anchor distT="0" distB="0" distL="114300" distR="114300" simplePos="0" relativeHeight="251658240" behindDoc="0" locked="0" layoutInCell="1" allowOverlap="1" wp14:anchorId="0C7849AF" wp14:editId="0270009F">
                <wp:simplePos x="0" y="0"/>
                <wp:positionH relativeFrom="margin">
                  <wp:posOffset>2872105</wp:posOffset>
                </wp:positionH>
                <wp:positionV relativeFrom="paragraph">
                  <wp:posOffset>330200</wp:posOffset>
                </wp:positionV>
                <wp:extent cx="4313555" cy="4194175"/>
                <wp:effectExtent l="57150" t="38100" r="48895" b="73025"/>
                <wp:wrapSquare wrapText="bothSides"/>
                <wp:docPr id="2" name="Rounded Rectangle 2"/>
                <wp:cNvGraphicFramePr/>
                <a:graphic xmlns:a="http://schemas.openxmlformats.org/drawingml/2006/main">
                  <a:graphicData uri="http://schemas.microsoft.com/office/word/2010/wordprocessingShape">
                    <wps:wsp>
                      <wps:cNvSpPr/>
                      <wps:spPr>
                        <a:xfrm>
                          <a:off x="0" y="0"/>
                          <a:ext cx="4313555" cy="419417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14:paraId="2F898879" w14:textId="77777777" w:rsidR="00C95DEB" w:rsidRPr="00AE0425" w:rsidRDefault="00C95DEB" w:rsidP="00673E50">
                            <w:pPr>
                              <w:jc w:val="center"/>
                              <w:rPr>
                                <w:rFonts w:ascii="Corbel" w:hAnsi="Corbel"/>
                                <w:color w:val="FFFFFF" w:themeColor="background1"/>
                                <w:u w:val="single"/>
                              </w:rPr>
                            </w:pPr>
                            <w:r w:rsidRPr="00AE0425">
                              <w:rPr>
                                <w:rFonts w:ascii="Corbel" w:hAnsi="Corbel"/>
                                <w:color w:val="FFFFFF" w:themeColor="background1"/>
                                <w:u w:val="single"/>
                              </w:rPr>
                              <w:t>What to document in the patient record</w:t>
                            </w:r>
                          </w:p>
                          <w:p w14:paraId="4A454A05" w14:textId="77777777" w:rsidR="00C95DEB" w:rsidRPr="00EE0863" w:rsidRDefault="00ED04EF" w:rsidP="00673E50">
                            <w:pPr>
                              <w:pStyle w:val="Bullet"/>
                              <w:rPr>
                                <w:color w:val="FFFFFF" w:themeColor="background1"/>
                              </w:rPr>
                            </w:pPr>
                            <w:hyperlink w:anchor="_Appendix_A:_Risk" w:history="1">
                              <w:r w:rsidR="00C95DEB" w:rsidRPr="00673E50">
                                <w:rPr>
                                  <w:rStyle w:val="Hyperlink"/>
                                  <w:color w:val="FFFFFF" w:themeColor="background1"/>
                                </w:rPr>
                                <w:t>Risk level</w:t>
                              </w:r>
                            </w:hyperlink>
                            <w:r w:rsidR="00C95DEB" w:rsidRPr="00673E50">
                              <w:rPr>
                                <w:color w:val="FFFFFF" w:themeColor="background1"/>
                              </w:rPr>
                              <w:t xml:space="preserve"> and </w:t>
                            </w:r>
                            <w:r w:rsidR="00C95DEB" w:rsidRPr="00EE0863">
                              <w:rPr>
                                <w:color w:val="FFFFFF" w:themeColor="background1"/>
                              </w:rPr>
                              <w:t>related intervals for pain visits (high risk, at least quarterly</w:t>
                            </w:r>
                            <w:r w:rsidR="00C95DEB">
                              <w:rPr>
                                <w:color w:val="FFFFFF" w:themeColor="background1"/>
                              </w:rPr>
                              <w:t>;</w:t>
                            </w:r>
                            <w:r w:rsidR="00C95DEB" w:rsidRPr="00EE0863">
                              <w:rPr>
                                <w:color w:val="FFFFFF" w:themeColor="background1"/>
                              </w:rPr>
                              <w:t xml:space="preserve"> moderate risk, at least semiannually; low-risk, at least annually)</w:t>
                            </w:r>
                          </w:p>
                          <w:p w14:paraId="5F358745" w14:textId="77777777" w:rsidR="00C95DEB" w:rsidRPr="00EE0863" w:rsidRDefault="00C95DEB" w:rsidP="00673E50">
                            <w:pPr>
                              <w:pStyle w:val="Bullet"/>
                              <w:rPr>
                                <w:color w:val="FFFFFF" w:themeColor="background1"/>
                              </w:rPr>
                            </w:pPr>
                            <w:r w:rsidRPr="00EE0863">
                              <w:rPr>
                                <w:color w:val="FFFFFF" w:themeColor="background1"/>
                              </w:rPr>
                              <w:t>Diagnosis</w:t>
                            </w:r>
                          </w:p>
                          <w:p w14:paraId="239339A9" w14:textId="77777777" w:rsidR="00C95DEB" w:rsidRPr="00EE0863" w:rsidRDefault="00C95DEB" w:rsidP="00673E50">
                            <w:pPr>
                              <w:pStyle w:val="Bullet"/>
                              <w:rPr>
                                <w:color w:val="FFFFFF" w:themeColor="background1"/>
                              </w:rPr>
                            </w:pPr>
                            <w:r w:rsidRPr="00EE0863">
                              <w:rPr>
                                <w:color w:val="FFFFFF" w:themeColor="background1"/>
                              </w:rPr>
                              <w:t>Plan for treatment (e.g., physical therapy, opioid medication)</w:t>
                            </w:r>
                          </w:p>
                          <w:p w14:paraId="6217C8D5" w14:textId="77777777" w:rsidR="00C95DEB" w:rsidRPr="0091310B" w:rsidRDefault="00C95DEB" w:rsidP="00125444">
                            <w:pPr>
                              <w:pStyle w:val="Bullet"/>
                              <w:rPr>
                                <w:color w:val="FFFFFF" w:themeColor="background1"/>
                              </w:rPr>
                            </w:pPr>
                            <w:r w:rsidRPr="0091310B">
                              <w:rPr>
                                <w:color w:val="FFFFFF" w:themeColor="background1"/>
                              </w:rPr>
                              <w:t>Why the patient’s le</w:t>
                            </w:r>
                            <w:r>
                              <w:rPr>
                                <w:color w:val="FFFFFF" w:themeColor="background1"/>
                              </w:rPr>
                              <w:t>vel of function or</w:t>
                            </w:r>
                            <w:r w:rsidRPr="0091310B">
                              <w:rPr>
                                <w:color w:val="FFFFFF" w:themeColor="background1"/>
                              </w:rPr>
                              <w:t xml:space="preserve"> pain control justifies a continuation of opioids</w:t>
                            </w:r>
                          </w:p>
                          <w:p w14:paraId="4580754F" w14:textId="77777777" w:rsidR="00C95DEB" w:rsidRPr="00EE0863" w:rsidRDefault="00C95DEB" w:rsidP="00673E50">
                            <w:pPr>
                              <w:pStyle w:val="Bullet"/>
                              <w:rPr>
                                <w:color w:val="FFFFFF" w:themeColor="background1"/>
                              </w:rPr>
                            </w:pPr>
                            <w:r w:rsidRPr="00EE0863">
                              <w:rPr>
                                <w:color w:val="FFFFFF" w:themeColor="background1"/>
                              </w:rPr>
                              <w:t>That you educated the patient about risks, storage, and safe disposal</w:t>
                            </w:r>
                          </w:p>
                          <w:p w14:paraId="6C21410C" w14:textId="77777777" w:rsidR="00C95DEB" w:rsidRPr="0091310B" w:rsidRDefault="00C95DEB" w:rsidP="004A649C">
                            <w:pPr>
                              <w:pStyle w:val="Bullet"/>
                              <w:rPr>
                                <w:color w:val="FFFFFF" w:themeColor="background1"/>
                              </w:rPr>
                            </w:pPr>
                            <w:r>
                              <w:rPr>
                                <w:color w:val="FFFFFF" w:themeColor="background1"/>
                              </w:rPr>
                              <w:t>Patient agreement signed</w:t>
                            </w:r>
                          </w:p>
                          <w:p w14:paraId="52C95209" w14:textId="77777777" w:rsidR="00C95DEB" w:rsidRPr="005D2B9E" w:rsidRDefault="00C95DEB" w:rsidP="00673E50">
                            <w:pPr>
                              <w:pStyle w:val="Bullet"/>
                              <w:rPr>
                                <w:color w:val="FFFFFF" w:themeColor="background1"/>
                              </w:rPr>
                            </w:pPr>
                            <w:r w:rsidRPr="005D2B9E">
                              <w:rPr>
                                <w:color w:val="FFFFFF" w:themeColor="background1"/>
                              </w:rPr>
                              <w:t xml:space="preserve">Concerns identified through checking the PDMP </w:t>
                            </w:r>
                          </w:p>
                          <w:p w14:paraId="105CF3AC" w14:textId="77777777" w:rsidR="00C95DEB" w:rsidRDefault="00C95DEB" w:rsidP="00673E50">
                            <w:pPr>
                              <w:pStyle w:val="Bullet"/>
                              <w:rPr>
                                <w:color w:val="FFFFFF" w:themeColor="background1"/>
                              </w:rPr>
                            </w:pPr>
                            <w:r w:rsidRPr="00EE0863">
                              <w:rPr>
                                <w:color w:val="FFFFFF" w:themeColor="background1"/>
                              </w:rPr>
                              <w:t>Justification for</w:t>
                            </w:r>
                            <w:r>
                              <w:rPr>
                                <w:color w:val="FFFFFF" w:themeColor="background1"/>
                              </w:rPr>
                              <w:t>:</w:t>
                            </w:r>
                          </w:p>
                          <w:p w14:paraId="58FCBD23" w14:textId="77777777" w:rsidR="00C95DEB" w:rsidRPr="00747A47" w:rsidRDefault="00C95DEB" w:rsidP="00673E50">
                            <w:pPr>
                              <w:pStyle w:val="Subbullet"/>
                              <w:rPr>
                                <w:color w:val="FFFFFF" w:themeColor="background1"/>
                              </w:rPr>
                            </w:pPr>
                            <w:r w:rsidRPr="00747A47">
                              <w:rPr>
                                <w:color w:val="FFFFFF" w:themeColor="background1"/>
                              </w:rPr>
                              <w:t>Co-prescribing benzodiazepines, barbiturates, sedatives, carisoprod</w:t>
                            </w:r>
                            <w:r>
                              <w:rPr>
                                <w:color w:val="FFFFFF" w:themeColor="background1"/>
                              </w:rPr>
                              <w:t>o</w:t>
                            </w:r>
                            <w:r w:rsidRPr="00747A47">
                              <w:rPr>
                                <w:color w:val="FFFFFF" w:themeColor="background1"/>
                              </w:rPr>
                              <w:t>l, or non-benzodiazepine hypnotics</w:t>
                            </w:r>
                          </w:p>
                          <w:p w14:paraId="72F0D5A2" w14:textId="77777777" w:rsidR="00C95DEB" w:rsidRPr="00747A47" w:rsidRDefault="00C95DEB" w:rsidP="00673E50">
                            <w:pPr>
                              <w:pStyle w:val="Subbullet"/>
                              <w:rPr>
                                <w:color w:val="FFFFFF" w:themeColor="background1"/>
                              </w:rPr>
                            </w:pPr>
                            <w:r w:rsidRPr="00747A47">
                              <w:rPr>
                                <w:color w:val="FFFFFF" w:themeColor="background1"/>
                              </w:rPr>
                              <w:t>An opioid dosage ≥50 MED</w:t>
                            </w:r>
                          </w:p>
                          <w:p w14:paraId="1C40939A" w14:textId="77777777" w:rsidR="00C95DEB" w:rsidRPr="00747A47" w:rsidRDefault="00C95DEB" w:rsidP="00673E50">
                            <w:pPr>
                              <w:pStyle w:val="Subbullet"/>
                              <w:rPr>
                                <w:color w:val="FFFFFF" w:themeColor="background1"/>
                              </w:rPr>
                            </w:pPr>
                            <w:r w:rsidRPr="00747A47">
                              <w:rPr>
                                <w:color w:val="FFFFFF" w:themeColor="background1"/>
                              </w:rPr>
                              <w:t>Any deviation from clinic policies</w:t>
                            </w:r>
                          </w:p>
                          <w:p w14:paraId="746B3636" w14:textId="77777777" w:rsidR="00C95DEB" w:rsidRPr="00177B38" w:rsidRDefault="00C95DEB" w:rsidP="00673E50">
                            <w:pPr>
                              <w:pStyle w:val="Bullet"/>
                              <w:numPr>
                                <w:ilvl w:val="0"/>
                                <w:numId w:val="0"/>
                              </w:numPr>
                              <w:rPr>
                                <w:color w:val="FFFFFF" w:themeColor="background1"/>
                                <w:sz w:val="18"/>
                                <w:szCs w:val="18"/>
                              </w:rPr>
                            </w:pPr>
                          </w:p>
                          <w:p w14:paraId="500BA975" w14:textId="77777777" w:rsidR="00C95DEB" w:rsidRPr="00910D70" w:rsidRDefault="00C95DEB" w:rsidP="00673E50">
                            <w:pPr>
                              <w:jc w:val="center"/>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849AF" id="Rounded Rectangle 2" o:spid="_x0000_s1031" style="position:absolute;left:0;text-align:left;margin-left:226.15pt;margin-top:26pt;width:339.65pt;height:33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" fillcolor="#77b64e [3033]" stroked="f">
                <v:fill color2="#6eaa46 [3177]" rotate="t" colors="0 #81b861;.5 #6fb242;1 #61a235" focus="100%" type="gradient">
                  <o:fill v:ext="view" type="gradientUnscaled"/>
                </v:fill>
                <v:shadow on="t" color="black" opacity="41287f" offset="0,1.5pt"/>
                <v:textbox>
                  <w:txbxContent>
                    <w:p w14:paraId="2F898879" w14:textId="77777777" w:rsidR="00C95DEB" w:rsidRPr="00AE0425" w:rsidRDefault="00C95DEB" w:rsidP="00673E50">
                      <w:pPr>
                        <w:jc w:val="center"/>
                        <w:rPr>
                          <w:rFonts w:ascii="Corbel" w:hAnsi="Corbel"/>
                          <w:color w:val="FFFFFF" w:themeColor="background1"/>
                          <w:u w:val="single"/>
                        </w:rPr>
                      </w:pPr>
                      <w:r w:rsidRPr="00AE0425">
                        <w:rPr>
                          <w:rFonts w:ascii="Corbel" w:hAnsi="Corbel"/>
                          <w:color w:val="FFFFFF" w:themeColor="background1"/>
                          <w:u w:val="single"/>
                        </w:rPr>
                        <w:t>What to document in the patient record</w:t>
                      </w:r>
                    </w:p>
                    <w:p w14:paraId="4A454A05" w14:textId="77777777" w:rsidR="00C95DEB" w:rsidRPr="00EE0863" w:rsidRDefault="00EF798E" w:rsidP="00673E50">
                      <w:pPr>
                        <w:pStyle w:val="Bullet"/>
                        <w:rPr>
                          <w:color w:val="FFFFFF" w:themeColor="background1"/>
                        </w:rPr>
                      </w:pPr>
                      <w:hyperlink w:anchor="_Appendix_A:_Risk" w:history="1">
                        <w:r w:rsidR="00C95DEB" w:rsidRPr="00673E50">
                          <w:rPr>
                            <w:rStyle w:val="Hyperlink"/>
                            <w:color w:val="FFFFFF" w:themeColor="background1"/>
                          </w:rPr>
                          <w:t>Risk level</w:t>
                        </w:r>
                      </w:hyperlink>
                      <w:r w:rsidR="00C95DEB" w:rsidRPr="00673E50">
                        <w:rPr>
                          <w:color w:val="FFFFFF" w:themeColor="background1"/>
                        </w:rPr>
                        <w:t xml:space="preserve"> and </w:t>
                      </w:r>
                      <w:r w:rsidR="00C95DEB" w:rsidRPr="00EE0863">
                        <w:rPr>
                          <w:color w:val="FFFFFF" w:themeColor="background1"/>
                        </w:rPr>
                        <w:t>related intervals for pain visits (high risk, at least quarterly</w:t>
                      </w:r>
                      <w:r w:rsidR="00C95DEB">
                        <w:rPr>
                          <w:color w:val="FFFFFF" w:themeColor="background1"/>
                        </w:rPr>
                        <w:t>;</w:t>
                      </w:r>
                      <w:r w:rsidR="00C95DEB" w:rsidRPr="00EE0863">
                        <w:rPr>
                          <w:color w:val="FFFFFF" w:themeColor="background1"/>
                        </w:rPr>
                        <w:t xml:space="preserve"> moderate risk, at least semiannually; low-risk, at least annually)</w:t>
                      </w:r>
                    </w:p>
                    <w:p w14:paraId="5F358745" w14:textId="77777777" w:rsidR="00C95DEB" w:rsidRPr="00EE0863" w:rsidRDefault="00C95DEB" w:rsidP="00673E50">
                      <w:pPr>
                        <w:pStyle w:val="Bullet"/>
                        <w:rPr>
                          <w:color w:val="FFFFFF" w:themeColor="background1"/>
                        </w:rPr>
                      </w:pPr>
                      <w:r w:rsidRPr="00EE0863">
                        <w:rPr>
                          <w:color w:val="FFFFFF" w:themeColor="background1"/>
                        </w:rPr>
                        <w:t>Diagnosis</w:t>
                      </w:r>
                    </w:p>
                    <w:p w14:paraId="239339A9" w14:textId="77777777" w:rsidR="00C95DEB" w:rsidRPr="00EE0863" w:rsidRDefault="00C95DEB" w:rsidP="00673E50">
                      <w:pPr>
                        <w:pStyle w:val="Bullet"/>
                        <w:rPr>
                          <w:color w:val="FFFFFF" w:themeColor="background1"/>
                        </w:rPr>
                      </w:pPr>
                      <w:r w:rsidRPr="00EE0863">
                        <w:rPr>
                          <w:color w:val="FFFFFF" w:themeColor="background1"/>
                        </w:rPr>
                        <w:t>Plan for treatment (e.g., physical therapy, opioid medication)</w:t>
                      </w:r>
                    </w:p>
                    <w:p w14:paraId="6217C8D5" w14:textId="77777777" w:rsidR="00C95DEB" w:rsidRPr="0091310B" w:rsidRDefault="00C95DEB" w:rsidP="00125444">
                      <w:pPr>
                        <w:pStyle w:val="Bullet"/>
                        <w:rPr>
                          <w:color w:val="FFFFFF" w:themeColor="background1"/>
                        </w:rPr>
                      </w:pPr>
                      <w:r w:rsidRPr="0091310B">
                        <w:rPr>
                          <w:color w:val="FFFFFF" w:themeColor="background1"/>
                        </w:rPr>
                        <w:t>Why the patient’s le</w:t>
                      </w:r>
                      <w:r>
                        <w:rPr>
                          <w:color w:val="FFFFFF" w:themeColor="background1"/>
                        </w:rPr>
                        <w:t>vel of function or</w:t>
                      </w:r>
                      <w:r w:rsidRPr="0091310B">
                        <w:rPr>
                          <w:color w:val="FFFFFF" w:themeColor="background1"/>
                        </w:rPr>
                        <w:t xml:space="preserve"> pain control justifies a continuation of opioids</w:t>
                      </w:r>
                    </w:p>
                    <w:p w14:paraId="4580754F" w14:textId="77777777" w:rsidR="00C95DEB" w:rsidRPr="00EE0863" w:rsidRDefault="00C95DEB" w:rsidP="00673E50">
                      <w:pPr>
                        <w:pStyle w:val="Bullet"/>
                        <w:rPr>
                          <w:color w:val="FFFFFF" w:themeColor="background1"/>
                        </w:rPr>
                      </w:pPr>
                      <w:r w:rsidRPr="00EE0863">
                        <w:rPr>
                          <w:color w:val="FFFFFF" w:themeColor="background1"/>
                        </w:rPr>
                        <w:t>That you educated the patient about risks, storage, and safe disposal</w:t>
                      </w:r>
                    </w:p>
                    <w:p w14:paraId="6C21410C" w14:textId="77777777" w:rsidR="00C95DEB" w:rsidRPr="0091310B" w:rsidRDefault="00C95DEB" w:rsidP="004A649C">
                      <w:pPr>
                        <w:pStyle w:val="Bullet"/>
                        <w:rPr>
                          <w:color w:val="FFFFFF" w:themeColor="background1"/>
                        </w:rPr>
                      </w:pPr>
                      <w:r>
                        <w:rPr>
                          <w:color w:val="FFFFFF" w:themeColor="background1"/>
                        </w:rPr>
                        <w:t>Patient agreement signed</w:t>
                      </w:r>
                    </w:p>
                    <w:p w14:paraId="52C95209" w14:textId="77777777" w:rsidR="00C95DEB" w:rsidRPr="005D2B9E" w:rsidRDefault="00C95DEB" w:rsidP="00673E50">
                      <w:pPr>
                        <w:pStyle w:val="Bullet"/>
                        <w:rPr>
                          <w:color w:val="FFFFFF" w:themeColor="background1"/>
                        </w:rPr>
                      </w:pPr>
                      <w:r w:rsidRPr="005D2B9E">
                        <w:rPr>
                          <w:color w:val="FFFFFF" w:themeColor="background1"/>
                        </w:rPr>
                        <w:t xml:space="preserve">Concerns identified through checking the PDMP </w:t>
                      </w:r>
                    </w:p>
                    <w:p w14:paraId="105CF3AC" w14:textId="77777777" w:rsidR="00C95DEB" w:rsidRDefault="00C95DEB" w:rsidP="00673E50">
                      <w:pPr>
                        <w:pStyle w:val="Bullet"/>
                        <w:rPr>
                          <w:color w:val="FFFFFF" w:themeColor="background1"/>
                        </w:rPr>
                      </w:pPr>
                      <w:r w:rsidRPr="00EE0863">
                        <w:rPr>
                          <w:color w:val="FFFFFF" w:themeColor="background1"/>
                        </w:rPr>
                        <w:t>Justification for</w:t>
                      </w:r>
                      <w:r>
                        <w:rPr>
                          <w:color w:val="FFFFFF" w:themeColor="background1"/>
                        </w:rPr>
                        <w:t>:</w:t>
                      </w:r>
                    </w:p>
                    <w:p w14:paraId="58FCBD23" w14:textId="77777777" w:rsidR="00C95DEB" w:rsidRPr="00747A47" w:rsidRDefault="00C95DEB" w:rsidP="00673E50">
                      <w:pPr>
                        <w:pStyle w:val="Subbullet"/>
                        <w:rPr>
                          <w:color w:val="FFFFFF" w:themeColor="background1"/>
                        </w:rPr>
                      </w:pPr>
                      <w:r w:rsidRPr="00747A47">
                        <w:rPr>
                          <w:color w:val="FFFFFF" w:themeColor="background1"/>
                        </w:rPr>
                        <w:t>Co-prescribing benzodiazepines, barbiturates, sedatives, carisoprod</w:t>
                      </w:r>
                      <w:r>
                        <w:rPr>
                          <w:color w:val="FFFFFF" w:themeColor="background1"/>
                        </w:rPr>
                        <w:t>o</w:t>
                      </w:r>
                      <w:r w:rsidRPr="00747A47">
                        <w:rPr>
                          <w:color w:val="FFFFFF" w:themeColor="background1"/>
                        </w:rPr>
                        <w:t>l, or non-benzodiazepine hypnotics</w:t>
                      </w:r>
                    </w:p>
                    <w:p w14:paraId="72F0D5A2" w14:textId="77777777" w:rsidR="00C95DEB" w:rsidRPr="00747A47" w:rsidRDefault="00C95DEB" w:rsidP="00673E50">
                      <w:pPr>
                        <w:pStyle w:val="Subbullet"/>
                        <w:rPr>
                          <w:color w:val="FFFFFF" w:themeColor="background1"/>
                        </w:rPr>
                      </w:pPr>
                      <w:r w:rsidRPr="00747A47">
                        <w:rPr>
                          <w:color w:val="FFFFFF" w:themeColor="background1"/>
                        </w:rPr>
                        <w:t>An opioid dosage ≥50 MED</w:t>
                      </w:r>
                    </w:p>
                    <w:p w14:paraId="1C40939A" w14:textId="77777777" w:rsidR="00C95DEB" w:rsidRPr="00747A47" w:rsidRDefault="00C95DEB" w:rsidP="00673E50">
                      <w:pPr>
                        <w:pStyle w:val="Subbullet"/>
                        <w:rPr>
                          <w:color w:val="FFFFFF" w:themeColor="background1"/>
                        </w:rPr>
                      </w:pPr>
                      <w:r w:rsidRPr="00747A47">
                        <w:rPr>
                          <w:color w:val="FFFFFF" w:themeColor="background1"/>
                        </w:rPr>
                        <w:t>Any deviation from clinic policies</w:t>
                      </w:r>
                    </w:p>
                    <w:p w14:paraId="746B3636" w14:textId="77777777" w:rsidR="00C95DEB" w:rsidRPr="00177B38" w:rsidRDefault="00C95DEB" w:rsidP="00673E50">
                      <w:pPr>
                        <w:pStyle w:val="Bullet"/>
                        <w:numPr>
                          <w:ilvl w:val="0"/>
                          <w:numId w:val="0"/>
                        </w:numPr>
                        <w:rPr>
                          <w:color w:val="FFFFFF" w:themeColor="background1"/>
                          <w:sz w:val="18"/>
                          <w:szCs w:val="18"/>
                        </w:rPr>
                      </w:pPr>
                    </w:p>
                    <w:p w14:paraId="500BA975" w14:textId="77777777" w:rsidR="00C95DEB" w:rsidRPr="00910D70" w:rsidRDefault="00C95DEB" w:rsidP="00673E50">
                      <w:pPr>
                        <w:jc w:val="center"/>
                        <w:rPr>
                          <w:color w:val="FFFFFF" w:themeColor="background1"/>
                          <w:sz w:val="18"/>
                          <w:szCs w:val="18"/>
                        </w:rPr>
                      </w:pPr>
                    </w:p>
                  </w:txbxContent>
                </v:textbox>
                <w10:wrap type="square" anchorx="margin"/>
              </v:roundrect>
            </w:pict>
          </mc:Fallback>
        </mc:AlternateContent>
      </w:r>
      <w:r w:rsidR="004938E2">
        <w:t xml:space="preserve">At least annually, or at every change in prescription, </w:t>
      </w:r>
      <w:r w:rsidR="00F0384D">
        <w:t xml:space="preserve">provide patient with written notification and </w:t>
      </w:r>
      <w:r w:rsidR="00F0384D" w:rsidRPr="001151CE">
        <w:rPr>
          <w:rStyle w:val="Strong"/>
        </w:rPr>
        <w:t>e</w:t>
      </w:r>
      <w:r w:rsidR="004938E2" w:rsidRPr="001151CE">
        <w:rPr>
          <w:rStyle w:val="Strong"/>
        </w:rPr>
        <w:t>ducate</w:t>
      </w:r>
      <w:r w:rsidR="004938E2" w:rsidRPr="00A42244">
        <w:t xml:space="preserve"> patients about the risks associated with the use of opioids (including opioid dependence), how to </w:t>
      </w:r>
      <w:r w:rsidR="004938E2" w:rsidRPr="00945BE1">
        <w:t xml:space="preserve">securely store opioids; and about the availability and location of disposal sites for unused opioid medications. </w:t>
      </w:r>
    </w:p>
    <w:p w14:paraId="3BA98730" w14:textId="032D8E5E" w:rsidR="006D1348" w:rsidRPr="006E320F" w:rsidRDefault="00717772" w:rsidP="006D1348">
      <w:pPr>
        <w:pStyle w:val="Bullet"/>
        <w:rPr>
          <w:rFonts w:cs="TradeGothic CondEighteen"/>
          <w:color w:val="000000"/>
        </w:rPr>
      </w:pPr>
      <w:r>
        <w:t xml:space="preserve">If appropriate, begin a </w:t>
      </w:r>
      <w:hyperlink r:id="rId55" w:history="1">
        <w:r w:rsidRPr="00F851D9">
          <w:rPr>
            <w:rStyle w:val="Hyperlink"/>
          </w:rPr>
          <w:t>tapering protocol</w:t>
        </w:r>
      </w:hyperlink>
      <w:r>
        <w:t xml:space="preserve"> tailored to the patient. S</w:t>
      </w:r>
      <w:r w:rsidRPr="00261DEE">
        <w:t xml:space="preserve">low opioid </w:t>
      </w:r>
      <w:r w:rsidRPr="00BD7B9D">
        <w:rPr>
          <w:rStyle w:val="Strong"/>
        </w:rPr>
        <w:t>tapers</w:t>
      </w:r>
      <w:r>
        <w:t xml:space="preserve"> (e.g., 10% per month or slower)</w:t>
      </w:r>
      <w:r w:rsidRPr="00261DEE">
        <w:t xml:space="preserve"> as well as pauses</w:t>
      </w:r>
      <w:r>
        <w:t xml:space="preserve"> in the taper with a defined resume time</w:t>
      </w:r>
      <w:r w:rsidRPr="00261DEE">
        <w:t xml:space="preserve"> allow gradual accommodation to lower </w:t>
      </w:r>
      <w:r w:rsidRPr="006E320F">
        <w:t>opioid dosages</w:t>
      </w:r>
      <w:r>
        <w:t xml:space="preserve"> and are best practices</w:t>
      </w:r>
      <w:r w:rsidRPr="006E320F">
        <w:t xml:space="preserve">. </w:t>
      </w:r>
      <w:r>
        <w:t>If a patient is enthusiastic about tapering, they can increase the taper rate (e.g., 10% every 2 weeks). Avoid increasing doses once tapering begins by identifying non-opioid strategies for pain flares. The only exception is a new acute pain problem.</w:t>
      </w:r>
    </w:p>
    <w:p w14:paraId="0285AC2B" w14:textId="00F55C81" w:rsidR="00BA66C7" w:rsidRDefault="00BA66C7" w:rsidP="00BA66C7">
      <w:pPr>
        <w:pStyle w:val="Bullet"/>
      </w:pPr>
      <w:r>
        <w:t xml:space="preserve">If </w:t>
      </w:r>
      <w:r w:rsidRPr="004B47BF">
        <w:rPr>
          <w:rStyle w:val="Strong"/>
        </w:rPr>
        <w:t>co-prescribing</w:t>
      </w:r>
      <w:r>
        <w:t xml:space="preserve"> </w:t>
      </w:r>
      <w:r w:rsidRPr="006E320F">
        <w:t xml:space="preserve">opioids and </w:t>
      </w:r>
      <w:hyperlink r:id="rId56" w:history="1">
        <w:r w:rsidR="002C0CB3">
          <w:rPr>
            <w:rStyle w:val="Hyperlink"/>
            <w:bCs/>
          </w:rPr>
          <w:t>sedative</w:t>
        </w:r>
        <w:r w:rsidRPr="006E320F">
          <w:rPr>
            <w:rStyle w:val="Hyperlink"/>
            <w:bCs/>
          </w:rPr>
          <w:t>s</w:t>
        </w:r>
      </w:hyperlink>
      <w:r>
        <w:rPr>
          <w:rStyle w:val="Hyperlink"/>
          <w:bCs/>
        </w:rPr>
        <w:t xml:space="preserve"> for a patient</w:t>
      </w:r>
      <w:r>
        <w:t>, begin tapering when appropriate</w:t>
      </w:r>
      <w:r w:rsidR="0067643A">
        <w:t>.</w:t>
      </w:r>
      <w:r>
        <w:t xml:space="preserve"> Engage the patient in the process by deciding which to taper and at what rate. The tapering plan can change over time (e.g., which medicine is currently being tapered can alternate over time; tapering rate can change).</w:t>
      </w:r>
    </w:p>
    <w:p w14:paraId="71B41E11" w14:textId="4113A1EB" w:rsidR="006D1348" w:rsidRDefault="006D1348" w:rsidP="006D1348">
      <w:pPr>
        <w:pStyle w:val="Bullet"/>
      </w:pPr>
      <w:r>
        <w:t>Be aware that unrecognized depression, anxiety and PTSD may be uncovered during a taper.</w:t>
      </w:r>
    </w:p>
    <w:p w14:paraId="61B587B8" w14:textId="2C7017FC" w:rsidR="00154798" w:rsidRPr="004A4521" w:rsidRDefault="00154798" w:rsidP="001151CE">
      <w:pPr>
        <w:pStyle w:val="Bullet"/>
      </w:pPr>
      <w:r>
        <w:t xml:space="preserve">Prescribe </w:t>
      </w:r>
      <w:r w:rsidRPr="001151CE">
        <w:rPr>
          <w:rStyle w:val="Strong"/>
        </w:rPr>
        <w:t>naloxone</w:t>
      </w:r>
      <w:r>
        <w:t xml:space="preserve"> “rescue” (nasal or injectable) if the patient is prescribed ≥ 50 MED daily, is at risk for overdose, on </w:t>
      </w:r>
      <w:hyperlink r:id="rId57" w:history="1">
        <w:r w:rsidRPr="0029317E">
          <w:rPr>
            <w:rStyle w:val="Hyperlink"/>
          </w:rPr>
          <w:t>sedative medications</w:t>
        </w:r>
      </w:hyperlink>
      <w:r>
        <w:t xml:space="preserve">, </w:t>
      </w:r>
      <w:r w:rsidR="00896296">
        <w:t xml:space="preserve">has opioid use disorder, </w:t>
      </w:r>
      <w:r>
        <w:t xml:space="preserve">or is at </w:t>
      </w:r>
      <w:r w:rsidRPr="001151CE">
        <w:t>risk</w:t>
      </w:r>
      <w:r>
        <w:t xml:space="preserve"> of respiratory suppression due to sleep apnea or chronic lung disease. See the </w:t>
      </w:r>
      <w:hyperlink w:anchor="_How__to" w:history="1">
        <w:r w:rsidRPr="003D17D5">
          <w:rPr>
            <w:rStyle w:val="Hyperlink"/>
          </w:rPr>
          <w:t>assessing risk section</w:t>
        </w:r>
      </w:hyperlink>
      <w:r>
        <w:t xml:space="preserve"> for how to assess. </w:t>
      </w:r>
    </w:p>
    <w:p w14:paraId="20D6B888" w14:textId="3144DA08" w:rsidR="009A047E" w:rsidRPr="00802FEE" w:rsidRDefault="009A047E" w:rsidP="009A047E">
      <w:pPr>
        <w:pStyle w:val="Bullet"/>
      </w:pPr>
      <w:r w:rsidRPr="00802FEE">
        <w:t xml:space="preserve">If the patient </w:t>
      </w:r>
      <w:r>
        <w:t>is prescribed opioid medication at an</w:t>
      </w:r>
      <w:r w:rsidRPr="00802FEE">
        <w:t xml:space="preserve"> MED ≥ 90, </w:t>
      </w:r>
      <w:r>
        <w:t>consider</w:t>
      </w:r>
      <w:r w:rsidRPr="00802FEE">
        <w:t xml:space="preserve"> a </w:t>
      </w:r>
      <w:r w:rsidRPr="00802FEE">
        <w:rPr>
          <w:rStyle w:val="Strong"/>
        </w:rPr>
        <w:t>pain specialist consultation</w:t>
      </w:r>
      <w:r w:rsidRPr="00802FEE">
        <w:t xml:space="preserve">. A pain specialist consultation is required at a dose of ≥ 120 MED/day unless </w:t>
      </w:r>
      <w:r>
        <w:t xml:space="preserve">the patient is </w:t>
      </w:r>
      <w:r w:rsidRPr="00802FEE">
        <w:t xml:space="preserve">following a tapering schedule, treatment is for short-term acute pain, pain and function </w:t>
      </w:r>
      <w:r>
        <w:t xml:space="preserve">are </w:t>
      </w:r>
      <w:r w:rsidRPr="00802FEE">
        <w:t>stable with a non-escalating dose</w:t>
      </w:r>
      <w:r>
        <w:t xml:space="preserve"> of opioids</w:t>
      </w:r>
      <w:r w:rsidRPr="00802FEE">
        <w:t xml:space="preserve">, or reasonable attempts to obtain consultation </w:t>
      </w:r>
      <w:r>
        <w:t xml:space="preserve">have </w:t>
      </w:r>
      <w:r w:rsidRPr="00802FEE">
        <w:t xml:space="preserve">failed. </w:t>
      </w:r>
    </w:p>
    <w:p w14:paraId="60978C6E" w14:textId="225DEFAB" w:rsidR="004938E2" w:rsidRDefault="004938E2" w:rsidP="007E1C9B">
      <w:pPr>
        <w:pStyle w:val="Bullet"/>
      </w:pPr>
      <w:r w:rsidRPr="001151CE">
        <w:rPr>
          <w:rStyle w:val="Strong"/>
        </w:rPr>
        <w:t xml:space="preserve">Within 1 to 4 weeks of </w:t>
      </w:r>
      <w:r w:rsidR="00EC6AF1" w:rsidRPr="001151CE">
        <w:rPr>
          <w:rStyle w:val="Strong"/>
        </w:rPr>
        <w:t>increasing</w:t>
      </w:r>
      <w:r w:rsidRPr="001151CE">
        <w:rPr>
          <w:rStyle w:val="Strong"/>
        </w:rPr>
        <w:t xml:space="preserve"> opioid </w:t>
      </w:r>
      <w:r w:rsidR="00EC6AF1" w:rsidRPr="001151CE">
        <w:rPr>
          <w:rStyle w:val="Strong"/>
        </w:rPr>
        <w:t>doses</w:t>
      </w:r>
      <w:r>
        <w:t xml:space="preserve">, evaluate benefits and risks; </w:t>
      </w:r>
      <w:r w:rsidRPr="00261DEE">
        <w:rPr>
          <w:b/>
          <w:i/>
          <w:u w:val="single"/>
        </w:rPr>
        <w:t>only</w:t>
      </w:r>
      <w:r>
        <w:t xml:space="preserve"> continue </w:t>
      </w:r>
      <w:r w:rsidR="00EC6AF1">
        <w:t>increased dose</w:t>
      </w:r>
      <w:r w:rsidRPr="00483258">
        <w:t xml:space="preserve"> if there is clinically meaningful improvement in pain and function that outweighs risks to</w:t>
      </w:r>
      <w:r>
        <w:t xml:space="preserve"> the</w:t>
      </w:r>
      <w:r w:rsidRPr="00483258">
        <w:t xml:space="preserve"> patient</w:t>
      </w:r>
      <w:r>
        <w:t>.</w:t>
      </w:r>
    </w:p>
    <w:p w14:paraId="21866B87" w14:textId="21BD55B3" w:rsidR="00673E50" w:rsidRDefault="009B21F6" w:rsidP="00673E50">
      <w:pPr>
        <w:pStyle w:val="Bullet"/>
      </w:pPr>
      <w:r w:rsidRPr="00A42244">
        <w:t xml:space="preserve">If you identify a patient has </w:t>
      </w:r>
      <w:r w:rsidRPr="001151CE">
        <w:rPr>
          <w:rStyle w:val="Strong"/>
        </w:rPr>
        <w:t>opioid use disorder</w:t>
      </w:r>
      <w:r w:rsidRPr="00A42244">
        <w:t xml:space="preserve">, discuss treatment with buprenorphine or a referral to an opioid treatment program for methadone. </w:t>
      </w:r>
      <w:r w:rsidR="00F0384D" w:rsidRPr="00A42244">
        <w:t>Also</w:t>
      </w:r>
      <w:r w:rsidR="00F0384D">
        <w:t xml:space="preserve"> provide a referral behavioral health services, if available.</w:t>
      </w:r>
      <w:bookmarkStart w:id="18" w:name="_Table_1:_Risk-based"/>
      <w:bookmarkStart w:id="19" w:name="_Table_2:_Assessment"/>
      <w:bookmarkStart w:id="20" w:name="_Table_2:_Opioid"/>
      <w:bookmarkStart w:id="21" w:name="_Toc1997829"/>
      <w:bookmarkEnd w:id="17"/>
      <w:bookmarkEnd w:id="18"/>
      <w:bookmarkEnd w:id="19"/>
      <w:bookmarkEnd w:id="20"/>
    </w:p>
    <w:p w14:paraId="411568A9" w14:textId="0C76E812" w:rsidR="0059649C" w:rsidRDefault="00182E59" w:rsidP="00431BB0">
      <w:pPr>
        <w:pStyle w:val="Heading3"/>
        <w:spacing w:before="240"/>
      </w:pPr>
      <w:bookmarkStart w:id="22" w:name="_Opioid_management_assessment"/>
      <w:bookmarkStart w:id="23" w:name="_Suggested_opioid_management"/>
      <w:bookmarkEnd w:id="22"/>
      <w:bookmarkEnd w:id="23"/>
      <w:r>
        <w:t xml:space="preserve">Suggested </w:t>
      </w:r>
      <w:r w:rsidR="00574E18">
        <w:t>o</w:t>
      </w:r>
      <w:r w:rsidR="00296A0F">
        <w:t>pioid management as</w:t>
      </w:r>
      <w:r w:rsidR="0012326B">
        <w:t>sessment schedule</w:t>
      </w:r>
      <w:bookmarkEnd w:id="21"/>
    </w:p>
    <w:tbl>
      <w:tblPr>
        <w:tblStyle w:val="GridTable4-Accent11"/>
        <w:tblW w:w="10795" w:type="dxa"/>
        <w:tblLook w:val="04A0" w:firstRow="1" w:lastRow="0" w:firstColumn="1" w:lastColumn="0" w:noHBand="0" w:noVBand="1"/>
      </w:tblPr>
      <w:tblGrid>
        <w:gridCol w:w="3055"/>
        <w:gridCol w:w="3656"/>
        <w:gridCol w:w="4084"/>
      </w:tblGrid>
      <w:tr w:rsidR="00A23714" w:rsidRPr="001151CE" w14:paraId="722ACF06" w14:textId="77777777" w:rsidTr="00984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22ACF03" w14:textId="3FCA8B32" w:rsidR="002057E4" w:rsidRPr="001151CE" w:rsidRDefault="00B558DF" w:rsidP="00B903CF">
            <w:pPr>
              <w:pStyle w:val="Tableheader"/>
              <w:rPr>
                <w:sz w:val="18"/>
                <w:szCs w:val="18"/>
              </w:rPr>
            </w:pPr>
            <w:r w:rsidRPr="001151CE">
              <w:rPr>
                <w:sz w:val="18"/>
                <w:szCs w:val="18"/>
              </w:rPr>
              <w:t>What you are assessing</w:t>
            </w:r>
          </w:p>
        </w:tc>
        <w:tc>
          <w:tcPr>
            <w:tcW w:w="3656" w:type="dxa"/>
          </w:tcPr>
          <w:p w14:paraId="722ACF04" w14:textId="00A53489" w:rsidR="002057E4" w:rsidRPr="001151CE" w:rsidRDefault="00B558DF" w:rsidP="00B903CF">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1151CE">
              <w:rPr>
                <w:sz w:val="18"/>
                <w:szCs w:val="18"/>
              </w:rPr>
              <w:t>How to assess</w:t>
            </w:r>
          </w:p>
        </w:tc>
        <w:tc>
          <w:tcPr>
            <w:tcW w:w="4084" w:type="dxa"/>
          </w:tcPr>
          <w:p w14:paraId="722ACF05" w14:textId="20B44946" w:rsidR="002057E4" w:rsidRPr="001151CE" w:rsidRDefault="00B558DF" w:rsidP="00B903CF">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1151CE">
              <w:rPr>
                <w:sz w:val="18"/>
                <w:szCs w:val="18"/>
              </w:rPr>
              <w:t>How frequently to assess</w:t>
            </w:r>
          </w:p>
        </w:tc>
      </w:tr>
      <w:tr w:rsidR="007F1D32" w:rsidRPr="001151CE" w14:paraId="63176FEE" w14:textId="77777777" w:rsidTr="00984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FBB00B9" w14:textId="77777777" w:rsidR="007F1D32" w:rsidRPr="001151CE" w:rsidRDefault="007F1D32" w:rsidP="007F1D32">
            <w:pPr>
              <w:pStyle w:val="TableParagraph"/>
              <w:rPr>
                <w:b w:val="0"/>
                <w:bCs w:val="0"/>
                <w:szCs w:val="18"/>
              </w:rPr>
            </w:pPr>
            <w:r w:rsidRPr="001151CE">
              <w:rPr>
                <w:szCs w:val="18"/>
              </w:rPr>
              <w:t>Specific diagnosis for pain</w:t>
            </w:r>
          </w:p>
          <w:p w14:paraId="1238BC65" w14:textId="341793F2" w:rsidR="00BD7B9D" w:rsidRPr="001151CE" w:rsidRDefault="00BD7B9D" w:rsidP="007F1D32">
            <w:pPr>
              <w:pStyle w:val="TableParagraph"/>
              <w:rPr>
                <w:szCs w:val="18"/>
              </w:rPr>
            </w:pPr>
            <w:r w:rsidRPr="001151CE">
              <w:rPr>
                <w:b w:val="0"/>
                <w:szCs w:val="18"/>
              </w:rPr>
              <w:t>Check that the patient has a diagnosis for their pain that will benefit from opioid medication.</w:t>
            </w:r>
          </w:p>
        </w:tc>
        <w:tc>
          <w:tcPr>
            <w:tcW w:w="3656" w:type="dxa"/>
          </w:tcPr>
          <w:p w14:paraId="25A02098" w14:textId="23302F86" w:rsidR="007F1D32" w:rsidRPr="001151CE" w:rsidRDefault="007F1D32" w:rsidP="007F1D32">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Based on history, physical examination, and testing (e.g., labs, imaging, as indicated)</w:t>
            </w:r>
          </w:p>
        </w:tc>
        <w:tc>
          <w:tcPr>
            <w:tcW w:w="4084" w:type="dxa"/>
          </w:tcPr>
          <w:p w14:paraId="0B0F4003" w14:textId="1CDD34F7" w:rsidR="007F1D32" w:rsidRPr="001151CE" w:rsidRDefault="007F1D32" w:rsidP="007F1D32">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 xml:space="preserve">First acute, subacute, and chronic pain visit and then at visits </w:t>
            </w:r>
            <w:hyperlink w:anchor="_Appendix_A:_Risk" w:history="1">
              <w:r w:rsidRPr="001151CE">
                <w:rPr>
                  <w:rStyle w:val="Hyperlink"/>
                  <w:szCs w:val="18"/>
                </w:rPr>
                <w:t>according to risk level</w:t>
              </w:r>
            </w:hyperlink>
          </w:p>
        </w:tc>
      </w:tr>
      <w:tr w:rsidR="006449A7" w:rsidRPr="001151CE" w14:paraId="0198E59A" w14:textId="77777777" w:rsidTr="009842C2">
        <w:tc>
          <w:tcPr>
            <w:cnfStyle w:val="001000000000" w:firstRow="0" w:lastRow="0" w:firstColumn="1" w:lastColumn="0" w:oddVBand="0" w:evenVBand="0" w:oddHBand="0" w:evenHBand="0" w:firstRowFirstColumn="0" w:firstRowLastColumn="0" w:lastRowFirstColumn="0" w:lastRowLastColumn="0"/>
            <w:tcW w:w="3055" w:type="dxa"/>
          </w:tcPr>
          <w:p w14:paraId="30645FB1" w14:textId="608FF6BD" w:rsidR="006449A7" w:rsidRPr="001151CE" w:rsidRDefault="006449A7" w:rsidP="006449A7">
            <w:pPr>
              <w:pStyle w:val="TableParagraph"/>
              <w:rPr>
                <w:szCs w:val="18"/>
              </w:rPr>
            </w:pPr>
            <w:r w:rsidRPr="001151CE">
              <w:rPr>
                <w:szCs w:val="18"/>
              </w:rPr>
              <w:t xml:space="preserve">Progress in meeting functional goals </w:t>
            </w:r>
          </w:p>
        </w:tc>
        <w:tc>
          <w:tcPr>
            <w:tcW w:w="3656" w:type="dxa"/>
          </w:tcPr>
          <w:p w14:paraId="15B7CC37" w14:textId="70D271CD" w:rsidR="006449A7" w:rsidRPr="001151CE" w:rsidRDefault="00CC7E67" w:rsidP="0075164B">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151CE">
              <w:rPr>
                <w:szCs w:val="18"/>
              </w:rPr>
              <w:t>Pain, Enjoyment, General activity scale (</w:t>
            </w:r>
            <w:hyperlink r:id="rId58" w:history="1">
              <w:r w:rsidRPr="001151CE">
                <w:rPr>
                  <w:rStyle w:val="Hyperlink"/>
                  <w:szCs w:val="18"/>
                </w:rPr>
                <w:t>PEG</w:t>
              </w:r>
            </w:hyperlink>
            <w:r w:rsidRPr="001151CE">
              <w:rPr>
                <w:szCs w:val="18"/>
              </w:rPr>
              <w:t xml:space="preserve">), documented </w:t>
            </w:r>
            <w:hyperlink r:id="rId59" w:history="1">
              <w:r w:rsidRPr="001151CE">
                <w:rPr>
                  <w:rStyle w:val="Hyperlink"/>
                  <w:szCs w:val="18"/>
                </w:rPr>
                <w:t>patient-set goals</w:t>
              </w:r>
            </w:hyperlink>
            <w:r w:rsidRPr="001151CE">
              <w:rPr>
                <w:szCs w:val="18"/>
              </w:rPr>
              <w:t xml:space="preserve"> (e.g., walk to the park), reports by family (though not always reliable, can be useful), evidence of performing job or life role function</w:t>
            </w:r>
          </w:p>
        </w:tc>
        <w:tc>
          <w:tcPr>
            <w:tcW w:w="4084" w:type="dxa"/>
          </w:tcPr>
          <w:p w14:paraId="47221553" w14:textId="6E5B727B" w:rsidR="006449A7" w:rsidRPr="001151CE" w:rsidRDefault="006449A7" w:rsidP="00051A46">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151CE">
              <w:rPr>
                <w:szCs w:val="18"/>
              </w:rPr>
              <w:t xml:space="preserve">Every </w:t>
            </w:r>
            <w:r w:rsidR="00431BB0" w:rsidRPr="001151CE">
              <w:rPr>
                <w:szCs w:val="18"/>
              </w:rPr>
              <w:t>visit</w:t>
            </w:r>
            <w:r w:rsidRPr="001151CE">
              <w:rPr>
                <w:szCs w:val="18"/>
              </w:rPr>
              <w:t xml:space="preserve"> whe</w:t>
            </w:r>
            <w:r w:rsidR="00597F6C" w:rsidRPr="001151CE">
              <w:rPr>
                <w:szCs w:val="18"/>
              </w:rPr>
              <w:t>n</w:t>
            </w:r>
            <w:r w:rsidR="00051A46" w:rsidRPr="001151CE">
              <w:rPr>
                <w:szCs w:val="18"/>
              </w:rPr>
              <w:t xml:space="preserve"> opioids are prescribed</w:t>
            </w:r>
          </w:p>
        </w:tc>
      </w:tr>
      <w:tr w:rsidR="00CC7E67" w:rsidRPr="001151CE" w14:paraId="1A1FA117" w14:textId="77777777" w:rsidTr="00984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56FE670D" w14:textId="2CC1B2AE" w:rsidR="00CC7E67" w:rsidRPr="001151CE" w:rsidRDefault="00CC7E67" w:rsidP="00CC7E67">
            <w:pPr>
              <w:pStyle w:val="TableParagraph"/>
              <w:rPr>
                <w:szCs w:val="18"/>
              </w:rPr>
            </w:pPr>
            <w:r w:rsidRPr="001151CE">
              <w:rPr>
                <w:szCs w:val="18"/>
              </w:rPr>
              <w:t>Potential benefits of non-opioid therapies</w:t>
            </w:r>
          </w:p>
        </w:tc>
        <w:tc>
          <w:tcPr>
            <w:tcW w:w="3656" w:type="dxa"/>
          </w:tcPr>
          <w:p w14:paraId="78C43623" w14:textId="63C5D1D4" w:rsidR="00CC7E67" w:rsidRPr="001151CE" w:rsidRDefault="00CC7E67" w:rsidP="00CC7E67">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 xml:space="preserve">Diagnosis, history, patient’s perspective, evidence (See </w:t>
            </w:r>
            <w:hyperlink r:id="rId60" w:history="1">
              <w:r w:rsidRPr="001151CE">
                <w:rPr>
                  <w:rStyle w:val="Hyperlink"/>
                  <w:szCs w:val="18"/>
                </w:rPr>
                <w:t>integrative medicine table</w:t>
              </w:r>
            </w:hyperlink>
            <w:r w:rsidRPr="001151CE">
              <w:rPr>
                <w:szCs w:val="18"/>
              </w:rPr>
              <w:t xml:space="preserve"> and </w:t>
            </w:r>
            <w:hyperlink r:id="rId61" w:history="1">
              <w:r w:rsidR="001151CE" w:rsidRPr="001151CE">
                <w:rPr>
                  <w:rStyle w:val="Hyperlink"/>
                  <w:szCs w:val="18"/>
                </w:rPr>
                <w:t>"Nonopioid Treatments for Chronic Pain”</w:t>
              </w:r>
            </w:hyperlink>
            <w:r w:rsidRPr="001151CE">
              <w:rPr>
                <w:szCs w:val="18"/>
              </w:rPr>
              <w:t xml:space="preserve"> </w:t>
            </w:r>
          </w:p>
        </w:tc>
        <w:tc>
          <w:tcPr>
            <w:tcW w:w="4084" w:type="dxa"/>
          </w:tcPr>
          <w:p w14:paraId="1A5DC372" w14:textId="1183B344" w:rsidR="00CC7E67" w:rsidRPr="001151CE" w:rsidRDefault="00CC7E67" w:rsidP="00CC7E67">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 xml:space="preserve">First acute, subacute, and chronic pain opioid prescription visit and then at visits </w:t>
            </w:r>
            <w:hyperlink w:anchor="_Appendix:_Risk_Stratification" w:history="1">
              <w:r w:rsidRPr="001151CE">
                <w:rPr>
                  <w:rStyle w:val="Hyperlink"/>
                  <w:szCs w:val="18"/>
                </w:rPr>
                <w:t>according to risk level</w:t>
              </w:r>
            </w:hyperlink>
          </w:p>
        </w:tc>
      </w:tr>
      <w:tr w:rsidR="006449A7" w:rsidRPr="001151CE" w14:paraId="50AB6D00" w14:textId="77777777" w:rsidTr="009842C2">
        <w:tc>
          <w:tcPr>
            <w:cnfStyle w:val="001000000000" w:firstRow="0" w:lastRow="0" w:firstColumn="1" w:lastColumn="0" w:oddVBand="0" w:evenVBand="0" w:oddHBand="0" w:evenHBand="0" w:firstRowFirstColumn="0" w:firstRowLastColumn="0" w:lastRowFirstColumn="0" w:lastRowLastColumn="0"/>
            <w:tcW w:w="3055" w:type="dxa"/>
          </w:tcPr>
          <w:p w14:paraId="1C462B03" w14:textId="5BBB24CC" w:rsidR="006449A7" w:rsidRPr="001151CE" w:rsidRDefault="006449A7" w:rsidP="006449A7">
            <w:pPr>
              <w:pStyle w:val="TableParagraph"/>
              <w:rPr>
                <w:szCs w:val="18"/>
              </w:rPr>
            </w:pPr>
            <w:r w:rsidRPr="001151CE">
              <w:rPr>
                <w:szCs w:val="18"/>
              </w:rPr>
              <w:t>Benefits and risks of continued opioid therapy</w:t>
            </w:r>
          </w:p>
        </w:tc>
        <w:tc>
          <w:tcPr>
            <w:tcW w:w="3656" w:type="dxa"/>
          </w:tcPr>
          <w:p w14:paraId="4AECDF6A" w14:textId="38D977C7" w:rsidR="006449A7" w:rsidRPr="001151CE" w:rsidRDefault="006449A7" w:rsidP="006449A7">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151CE">
              <w:rPr>
                <w:szCs w:val="18"/>
              </w:rPr>
              <w:t xml:space="preserve">Based on history, </w:t>
            </w:r>
            <w:hyperlink r:id="rId62" w:history="1">
              <w:r w:rsidRPr="001151CE">
                <w:rPr>
                  <w:rStyle w:val="Hyperlink"/>
                  <w:szCs w:val="18"/>
                </w:rPr>
                <w:t>PEG</w:t>
              </w:r>
            </w:hyperlink>
            <w:r w:rsidRPr="001151CE">
              <w:rPr>
                <w:szCs w:val="18"/>
              </w:rPr>
              <w:t xml:space="preserve">, </w:t>
            </w:r>
            <w:hyperlink r:id="rId63" w:history="1">
              <w:r w:rsidRPr="001151CE">
                <w:rPr>
                  <w:rStyle w:val="Hyperlink"/>
                  <w:szCs w:val="18"/>
                </w:rPr>
                <w:t>MED</w:t>
              </w:r>
            </w:hyperlink>
            <w:r w:rsidRPr="001151CE">
              <w:rPr>
                <w:szCs w:val="18"/>
              </w:rPr>
              <w:t xml:space="preserve">, </w:t>
            </w:r>
            <w:hyperlink r:id="rId64" w:history="1">
              <w:r w:rsidRPr="001151CE">
                <w:rPr>
                  <w:rStyle w:val="Hyperlink"/>
                  <w:szCs w:val="18"/>
                </w:rPr>
                <w:t>COMM</w:t>
              </w:r>
            </w:hyperlink>
            <w:r w:rsidRPr="001151CE">
              <w:rPr>
                <w:szCs w:val="18"/>
              </w:rPr>
              <w:t xml:space="preserve">, </w:t>
            </w:r>
            <w:hyperlink r:id="rId65" w:history="1">
              <w:r w:rsidRPr="001151CE">
                <w:rPr>
                  <w:rStyle w:val="Hyperlink"/>
                  <w:szCs w:val="18"/>
                </w:rPr>
                <w:t>STOPBang</w:t>
              </w:r>
            </w:hyperlink>
            <w:r w:rsidRPr="001151CE">
              <w:rPr>
                <w:szCs w:val="18"/>
              </w:rPr>
              <w:t>,</w:t>
            </w:r>
            <w:r w:rsidR="00765A09" w:rsidRPr="001151CE">
              <w:rPr>
                <w:szCs w:val="18"/>
              </w:rPr>
              <w:t xml:space="preserve"> </w:t>
            </w:r>
            <w:hyperlink w:anchor="_Dose_of_opioids" w:history="1">
              <w:r w:rsidRPr="001151CE">
                <w:rPr>
                  <w:rStyle w:val="Hyperlink"/>
                  <w:szCs w:val="18"/>
                </w:rPr>
                <w:t>P</w:t>
              </w:r>
              <w:r w:rsidR="004C6841" w:rsidRPr="001151CE">
                <w:rPr>
                  <w:rStyle w:val="Hyperlink"/>
                  <w:szCs w:val="18"/>
                </w:rPr>
                <w:t>D</w:t>
              </w:r>
              <w:r w:rsidRPr="001151CE">
                <w:rPr>
                  <w:rStyle w:val="Hyperlink"/>
                  <w:szCs w:val="18"/>
                </w:rPr>
                <w:t>MP</w:t>
              </w:r>
            </w:hyperlink>
            <w:r w:rsidRPr="001151CE">
              <w:rPr>
                <w:szCs w:val="18"/>
              </w:rPr>
              <w:t xml:space="preserve">, </w:t>
            </w:r>
            <w:hyperlink r:id="rId66" w:history="1">
              <w:r w:rsidRPr="001151CE">
                <w:rPr>
                  <w:rStyle w:val="Hyperlink"/>
                  <w:szCs w:val="18"/>
                </w:rPr>
                <w:t>UDT</w:t>
              </w:r>
            </w:hyperlink>
            <w:r w:rsidRPr="001151CE">
              <w:rPr>
                <w:szCs w:val="18"/>
              </w:rPr>
              <w:t xml:space="preserve"> </w:t>
            </w:r>
          </w:p>
        </w:tc>
        <w:tc>
          <w:tcPr>
            <w:tcW w:w="4084" w:type="dxa"/>
          </w:tcPr>
          <w:p w14:paraId="0633D509" w14:textId="497A73B3" w:rsidR="006449A7" w:rsidRPr="001151CE" w:rsidRDefault="006449A7" w:rsidP="006449A7">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151CE">
              <w:rPr>
                <w:szCs w:val="18"/>
              </w:rPr>
              <w:t>A visit within 1 to 4 weeks of:</w:t>
            </w:r>
          </w:p>
          <w:p w14:paraId="51E5E4FA" w14:textId="0C00EDD2" w:rsidR="006449A7" w:rsidRPr="001151CE" w:rsidRDefault="006449A7" w:rsidP="006449A7">
            <w:pPr>
              <w:pStyle w:val="Bullet"/>
              <w:cnfStyle w:val="000000000000" w:firstRow="0" w:lastRow="0" w:firstColumn="0" w:lastColumn="0" w:oddVBand="0" w:evenVBand="0" w:oddHBand="0" w:evenHBand="0" w:firstRowFirstColumn="0" w:firstRowLastColumn="0" w:lastRowFirstColumn="0" w:lastRowLastColumn="0"/>
              <w:rPr>
                <w:sz w:val="18"/>
                <w:szCs w:val="18"/>
              </w:rPr>
            </w:pPr>
            <w:r w:rsidRPr="001151CE">
              <w:rPr>
                <w:sz w:val="18"/>
                <w:szCs w:val="18"/>
              </w:rPr>
              <w:t>First chronic pain opioid prescription</w:t>
            </w:r>
          </w:p>
          <w:p w14:paraId="7C43D0BA" w14:textId="577E6A93" w:rsidR="006449A7" w:rsidRPr="001151CE" w:rsidRDefault="006449A7" w:rsidP="006449A7">
            <w:pPr>
              <w:pStyle w:val="Bullet"/>
              <w:cnfStyle w:val="000000000000" w:firstRow="0" w:lastRow="0" w:firstColumn="0" w:lastColumn="0" w:oddVBand="0" w:evenVBand="0" w:oddHBand="0" w:evenHBand="0" w:firstRowFirstColumn="0" w:firstRowLastColumn="0" w:lastRowFirstColumn="0" w:lastRowLastColumn="0"/>
              <w:rPr>
                <w:sz w:val="18"/>
                <w:szCs w:val="18"/>
              </w:rPr>
            </w:pPr>
            <w:r w:rsidRPr="001151CE">
              <w:rPr>
                <w:sz w:val="18"/>
                <w:szCs w:val="18"/>
              </w:rPr>
              <w:t>Increasing the dose of a chronic pain opioid prescription</w:t>
            </w:r>
          </w:p>
        </w:tc>
      </w:tr>
      <w:tr w:rsidR="00CC7E67" w:rsidRPr="001151CE" w14:paraId="722ACF0A" w14:textId="77777777" w:rsidTr="00984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22ACF07" w14:textId="6EB3D209" w:rsidR="00CC7E67" w:rsidRPr="001151CE" w:rsidRDefault="00717772" w:rsidP="00CC7E67">
            <w:pPr>
              <w:pStyle w:val="TableParagraph"/>
              <w:rPr>
                <w:szCs w:val="18"/>
              </w:rPr>
            </w:pPr>
            <w:r>
              <w:rPr>
                <w:szCs w:val="18"/>
              </w:rPr>
              <w:t>Potential</w:t>
            </w:r>
            <w:r w:rsidRPr="00BD7B9D">
              <w:rPr>
                <w:szCs w:val="18"/>
              </w:rPr>
              <w:t xml:space="preserve"> for substance/opioid misuse, abuse, or </w:t>
            </w:r>
            <w:r w:rsidR="00CC7E67" w:rsidRPr="001151CE" w:rsidDel="00717772">
              <w:rPr>
                <w:szCs w:val="18"/>
              </w:rPr>
              <w:t>disorder</w:t>
            </w:r>
            <w:bookmarkStart w:id="24" w:name="_GoBack"/>
            <w:bookmarkEnd w:id="24"/>
          </w:p>
        </w:tc>
        <w:tc>
          <w:tcPr>
            <w:tcW w:w="3656" w:type="dxa"/>
          </w:tcPr>
          <w:p w14:paraId="722ACF08" w14:textId="387CB21C" w:rsidR="00CC7E67" w:rsidRPr="001151CE" w:rsidRDefault="00CC7E67" w:rsidP="00CC7E67">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 xml:space="preserve">Potential tools to use: </w:t>
            </w:r>
            <w:hyperlink r:id="rId67" w:history="1">
              <w:r w:rsidRPr="001151CE">
                <w:rPr>
                  <w:rStyle w:val="Hyperlink"/>
                  <w:szCs w:val="18"/>
                </w:rPr>
                <w:t>ORT</w:t>
              </w:r>
            </w:hyperlink>
            <w:r w:rsidRPr="001151CE">
              <w:rPr>
                <w:szCs w:val="18"/>
              </w:rPr>
              <w:t xml:space="preserve">, </w:t>
            </w:r>
            <w:hyperlink r:id="rId68" w:history="1">
              <w:r w:rsidRPr="001151CE">
                <w:rPr>
                  <w:rStyle w:val="Hyperlink"/>
                  <w:szCs w:val="18"/>
                </w:rPr>
                <w:t>SOAPP</w:t>
              </w:r>
            </w:hyperlink>
            <w:r w:rsidRPr="001151CE">
              <w:rPr>
                <w:szCs w:val="18"/>
              </w:rPr>
              <w:t xml:space="preserve">, </w:t>
            </w:r>
            <w:hyperlink r:id="rId69" w:history="1">
              <w:r w:rsidRPr="001151CE">
                <w:rPr>
                  <w:rStyle w:val="Hyperlink"/>
                  <w:szCs w:val="18"/>
                </w:rPr>
                <w:t>COMM</w:t>
              </w:r>
            </w:hyperlink>
            <w:r w:rsidRPr="001151CE">
              <w:rPr>
                <w:szCs w:val="18"/>
              </w:rPr>
              <w:t xml:space="preserve">, </w:t>
            </w:r>
            <w:hyperlink r:id="rId70" w:history="1">
              <w:r w:rsidRPr="001151CE">
                <w:rPr>
                  <w:rStyle w:val="Hyperlink"/>
                  <w:szCs w:val="18"/>
                </w:rPr>
                <w:t>DAST</w:t>
              </w:r>
            </w:hyperlink>
            <w:r w:rsidRPr="001151CE">
              <w:rPr>
                <w:szCs w:val="18"/>
              </w:rPr>
              <w:t xml:space="preserve">, </w:t>
            </w:r>
            <w:hyperlink r:id="rId71" w:history="1">
              <w:r w:rsidRPr="001151CE">
                <w:rPr>
                  <w:rStyle w:val="Hyperlink"/>
                  <w:szCs w:val="18"/>
                </w:rPr>
                <w:t>TAPS</w:t>
              </w:r>
            </w:hyperlink>
            <w:r w:rsidRPr="001151CE">
              <w:rPr>
                <w:rStyle w:val="Hyperlink"/>
                <w:szCs w:val="18"/>
              </w:rPr>
              <w:t xml:space="preserve">, </w:t>
            </w:r>
            <w:hyperlink r:id="rId72" w:history="1">
              <w:r w:rsidRPr="001151CE">
                <w:rPr>
                  <w:rStyle w:val="Hyperlink"/>
                  <w:szCs w:val="18"/>
                </w:rPr>
                <w:t>DSM-5</w:t>
              </w:r>
            </w:hyperlink>
          </w:p>
        </w:tc>
        <w:tc>
          <w:tcPr>
            <w:tcW w:w="4084" w:type="dxa"/>
          </w:tcPr>
          <w:p w14:paraId="722ACF09" w14:textId="4E410B6F" w:rsidR="00CC7E67" w:rsidRPr="001151CE" w:rsidRDefault="00CC7E67" w:rsidP="00CC7E67">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First subacute or chronic pain visit</w:t>
            </w:r>
          </w:p>
        </w:tc>
      </w:tr>
      <w:tr w:rsidR="00CC7E67" w:rsidRPr="001151CE" w14:paraId="722ACF0E" w14:textId="77777777" w:rsidTr="009842C2">
        <w:tc>
          <w:tcPr>
            <w:cnfStyle w:val="001000000000" w:firstRow="0" w:lastRow="0" w:firstColumn="1" w:lastColumn="0" w:oddVBand="0" w:evenVBand="0" w:oddHBand="0" w:evenHBand="0" w:firstRowFirstColumn="0" w:firstRowLastColumn="0" w:lastRowFirstColumn="0" w:lastRowLastColumn="0"/>
            <w:tcW w:w="3055" w:type="dxa"/>
          </w:tcPr>
          <w:p w14:paraId="722ACF0B" w14:textId="3E26B825" w:rsidR="00CC7E67" w:rsidRPr="001151CE" w:rsidRDefault="00CC7E67" w:rsidP="00CC7E67">
            <w:pPr>
              <w:pStyle w:val="TableParagraph"/>
              <w:rPr>
                <w:szCs w:val="18"/>
              </w:rPr>
            </w:pPr>
            <w:r w:rsidRPr="001151CE">
              <w:rPr>
                <w:szCs w:val="18"/>
              </w:rPr>
              <w:t xml:space="preserve">Current substances used, including </w:t>
            </w:r>
            <w:hyperlink r:id="rId73" w:history="1">
              <w:r w:rsidR="002C0CB3">
                <w:rPr>
                  <w:rStyle w:val="Hyperlink"/>
                  <w:b w:val="0"/>
                  <w:bCs w:val="0"/>
                  <w:szCs w:val="18"/>
                </w:rPr>
                <w:t>sedative</w:t>
              </w:r>
              <w:r w:rsidRPr="001151CE">
                <w:rPr>
                  <w:rStyle w:val="Hyperlink"/>
                  <w:b w:val="0"/>
                  <w:bCs w:val="0"/>
                  <w:szCs w:val="18"/>
                </w:rPr>
                <w:t>s</w:t>
              </w:r>
            </w:hyperlink>
            <w:r w:rsidRPr="001151CE">
              <w:rPr>
                <w:szCs w:val="18"/>
              </w:rPr>
              <w:t xml:space="preserve"> (e.g.,  benzodiazepines, carisoprodol)</w:t>
            </w:r>
          </w:p>
        </w:tc>
        <w:tc>
          <w:tcPr>
            <w:tcW w:w="3656" w:type="dxa"/>
          </w:tcPr>
          <w:p w14:paraId="722ACF0C" w14:textId="0AEA89A1" w:rsidR="00CC7E67" w:rsidRPr="001151CE" w:rsidRDefault="00ED04EF" w:rsidP="00CC7E67">
            <w:pPr>
              <w:pStyle w:val="TableParagraph"/>
              <w:cnfStyle w:val="000000000000" w:firstRow="0" w:lastRow="0" w:firstColumn="0" w:lastColumn="0" w:oddVBand="0" w:evenVBand="0" w:oddHBand="0" w:evenHBand="0" w:firstRowFirstColumn="0" w:firstRowLastColumn="0" w:lastRowFirstColumn="0" w:lastRowLastColumn="0"/>
              <w:rPr>
                <w:color w:val="404040" w:themeColor="text1" w:themeTint="BF"/>
                <w:szCs w:val="18"/>
                <w:u w:val="dotted"/>
              </w:rPr>
            </w:pPr>
            <w:hyperlink r:id="rId74" w:history="1">
              <w:r w:rsidR="001151CE" w:rsidRPr="001151CE">
                <w:rPr>
                  <w:rStyle w:val="Hyperlink"/>
                  <w:szCs w:val="18"/>
                </w:rPr>
                <w:t>UDT</w:t>
              </w:r>
            </w:hyperlink>
          </w:p>
        </w:tc>
        <w:tc>
          <w:tcPr>
            <w:tcW w:w="4084" w:type="dxa"/>
          </w:tcPr>
          <w:p w14:paraId="722ACF0D" w14:textId="20F4B347" w:rsidR="00CC7E67" w:rsidRPr="001151CE" w:rsidRDefault="00CC7E67" w:rsidP="00CC7E67">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151CE">
              <w:rPr>
                <w:szCs w:val="18"/>
              </w:rPr>
              <w:t xml:space="preserve">First subacute or chronic pain visit and then visits </w:t>
            </w:r>
            <w:hyperlink w:anchor="_Appendix:_Risk_Stratification" w:history="1">
              <w:r w:rsidR="00444DE8" w:rsidRPr="001151CE">
                <w:rPr>
                  <w:rStyle w:val="Hyperlink"/>
                  <w:szCs w:val="18"/>
                </w:rPr>
                <w:t>according to risk level</w:t>
              </w:r>
            </w:hyperlink>
          </w:p>
        </w:tc>
      </w:tr>
      <w:tr w:rsidR="001151CE" w:rsidRPr="001151CE" w14:paraId="722ACF12" w14:textId="77777777" w:rsidTr="00984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22ACF0F" w14:textId="70DAB4D3" w:rsidR="001151CE" w:rsidRPr="001151CE" w:rsidRDefault="001151CE" w:rsidP="001151CE">
            <w:pPr>
              <w:pStyle w:val="TableParagraph"/>
              <w:rPr>
                <w:szCs w:val="18"/>
              </w:rPr>
            </w:pPr>
            <w:r w:rsidRPr="001151CE">
              <w:rPr>
                <w:szCs w:val="18"/>
              </w:rPr>
              <w:t xml:space="preserve">Current medications filled, including </w:t>
            </w:r>
            <w:hyperlink r:id="rId75" w:history="1">
              <w:r w:rsidR="002C0CB3">
                <w:rPr>
                  <w:rStyle w:val="Hyperlink"/>
                  <w:b w:val="0"/>
                  <w:bCs w:val="0"/>
                  <w:szCs w:val="18"/>
                </w:rPr>
                <w:t>sedative</w:t>
              </w:r>
              <w:r w:rsidRPr="001151CE">
                <w:rPr>
                  <w:rStyle w:val="Hyperlink"/>
                  <w:b w:val="0"/>
                  <w:bCs w:val="0"/>
                  <w:szCs w:val="18"/>
                </w:rPr>
                <w:t>s</w:t>
              </w:r>
            </w:hyperlink>
            <w:r w:rsidRPr="001151CE">
              <w:rPr>
                <w:szCs w:val="18"/>
              </w:rPr>
              <w:t xml:space="preserve"> (e.g.,  benzodiazepines, carisoprodol)</w:t>
            </w:r>
          </w:p>
        </w:tc>
        <w:tc>
          <w:tcPr>
            <w:tcW w:w="3656" w:type="dxa"/>
          </w:tcPr>
          <w:p w14:paraId="722ACF10" w14:textId="7E4B0898" w:rsidR="001151CE" w:rsidRPr="001151CE" w:rsidRDefault="00ED04EF" w:rsidP="001151CE">
            <w:pPr>
              <w:pStyle w:val="TableParagraph"/>
              <w:cnfStyle w:val="000000100000" w:firstRow="0" w:lastRow="0" w:firstColumn="0" w:lastColumn="0" w:oddVBand="0" w:evenVBand="0" w:oddHBand="1" w:evenHBand="0" w:firstRowFirstColumn="0" w:firstRowLastColumn="0" w:lastRowFirstColumn="0" w:lastRowLastColumn="0"/>
              <w:rPr>
                <w:szCs w:val="18"/>
              </w:rPr>
            </w:pPr>
            <w:hyperlink w:anchor="_Medications_taken/dose" w:history="1">
              <w:r w:rsidR="001151CE" w:rsidRPr="001151CE">
                <w:rPr>
                  <w:rStyle w:val="Hyperlink"/>
                  <w:szCs w:val="18"/>
                </w:rPr>
                <w:t>PDMP</w:t>
              </w:r>
            </w:hyperlink>
          </w:p>
        </w:tc>
        <w:tc>
          <w:tcPr>
            <w:tcW w:w="4084" w:type="dxa"/>
          </w:tcPr>
          <w:p w14:paraId="722ACF11" w14:textId="0286436B" w:rsidR="001151CE" w:rsidRPr="001151CE" w:rsidRDefault="001151CE" w:rsidP="001151CE">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 xml:space="preserve">First opioid prescription, at each transition to a new pain category (acute, subacute, chronic), and then at visits </w:t>
            </w:r>
            <w:hyperlink w:anchor="_Appendix:_Risk_Stratification" w:history="1">
              <w:r w:rsidRPr="001151CE">
                <w:rPr>
                  <w:rStyle w:val="Hyperlink"/>
                  <w:szCs w:val="18"/>
                </w:rPr>
                <w:t>according to risk level</w:t>
              </w:r>
            </w:hyperlink>
          </w:p>
        </w:tc>
      </w:tr>
      <w:tr w:rsidR="00CC7E67" w:rsidRPr="001151CE" w14:paraId="722ACF16" w14:textId="77777777" w:rsidTr="009842C2">
        <w:tc>
          <w:tcPr>
            <w:cnfStyle w:val="001000000000" w:firstRow="0" w:lastRow="0" w:firstColumn="1" w:lastColumn="0" w:oddVBand="0" w:evenVBand="0" w:oddHBand="0" w:evenHBand="0" w:firstRowFirstColumn="0" w:firstRowLastColumn="0" w:lastRowFirstColumn="0" w:lastRowLastColumn="0"/>
            <w:tcW w:w="3055" w:type="dxa"/>
          </w:tcPr>
          <w:p w14:paraId="722ACF13" w14:textId="5FD802C1" w:rsidR="00CC7E67" w:rsidRPr="001151CE" w:rsidRDefault="00CC7E67" w:rsidP="00CC7E67">
            <w:pPr>
              <w:pStyle w:val="TableParagraph"/>
              <w:rPr>
                <w:szCs w:val="18"/>
              </w:rPr>
            </w:pPr>
            <w:r w:rsidRPr="001151CE">
              <w:rPr>
                <w:szCs w:val="18"/>
              </w:rPr>
              <w:t>Informed consent</w:t>
            </w:r>
          </w:p>
        </w:tc>
        <w:tc>
          <w:tcPr>
            <w:tcW w:w="3656" w:type="dxa"/>
          </w:tcPr>
          <w:p w14:paraId="722ACF14" w14:textId="0A0F3FE5" w:rsidR="00CC7E67" w:rsidRPr="001151CE" w:rsidRDefault="00CC7E67" w:rsidP="00CC7E67">
            <w:pPr>
              <w:pStyle w:val="TableParagraph"/>
              <w:cnfStyle w:val="000000000000" w:firstRow="0" w:lastRow="0" w:firstColumn="0" w:lastColumn="0" w:oddVBand="0" w:evenVBand="0" w:oddHBand="0" w:evenHBand="0" w:firstRowFirstColumn="0" w:firstRowLastColumn="0" w:lastRowFirstColumn="0" w:lastRowLastColumn="0"/>
              <w:rPr>
                <w:color w:val="404040" w:themeColor="text1" w:themeTint="BF"/>
                <w:szCs w:val="18"/>
                <w:u w:val="dotted"/>
              </w:rPr>
            </w:pPr>
            <w:r w:rsidRPr="001151CE">
              <w:rPr>
                <w:szCs w:val="18"/>
              </w:rPr>
              <w:t xml:space="preserve">Review the </w:t>
            </w:r>
            <w:hyperlink r:id="rId76" w:history="1">
              <w:r w:rsidRPr="001151CE">
                <w:rPr>
                  <w:rStyle w:val="Hyperlink"/>
                  <w:szCs w:val="18"/>
                </w:rPr>
                <w:t xml:space="preserve">patient agreement </w:t>
              </w:r>
            </w:hyperlink>
            <w:r w:rsidRPr="001151CE">
              <w:rPr>
                <w:szCs w:val="18"/>
              </w:rPr>
              <w:t xml:space="preserve"> and have the patient sign it</w:t>
            </w:r>
          </w:p>
        </w:tc>
        <w:tc>
          <w:tcPr>
            <w:tcW w:w="4084" w:type="dxa"/>
          </w:tcPr>
          <w:p w14:paraId="722ACF15" w14:textId="77E64D1C" w:rsidR="00CC7E67" w:rsidRPr="001151CE" w:rsidRDefault="00CC7E67" w:rsidP="00CC7E67">
            <w:pPr>
              <w:pStyle w:val="TableParagraph"/>
              <w:cnfStyle w:val="000000000000" w:firstRow="0" w:lastRow="0" w:firstColumn="0" w:lastColumn="0" w:oddVBand="0" w:evenVBand="0" w:oddHBand="0" w:evenHBand="0" w:firstRowFirstColumn="0" w:firstRowLastColumn="0" w:lastRowFirstColumn="0" w:lastRowLastColumn="0"/>
              <w:rPr>
                <w:szCs w:val="18"/>
              </w:rPr>
            </w:pPr>
            <w:r w:rsidRPr="001151CE">
              <w:rPr>
                <w:szCs w:val="18"/>
              </w:rPr>
              <w:t>Start of long-term opioid therapy; annually</w:t>
            </w:r>
          </w:p>
        </w:tc>
      </w:tr>
      <w:tr w:rsidR="001151CE" w:rsidRPr="001151CE" w14:paraId="722ACF1A" w14:textId="77777777" w:rsidTr="00984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22ACF17" w14:textId="6887B2C7" w:rsidR="001151CE" w:rsidRPr="001151CE" w:rsidRDefault="001151CE" w:rsidP="001151CE">
            <w:pPr>
              <w:pStyle w:val="TableParagraph"/>
              <w:rPr>
                <w:szCs w:val="18"/>
              </w:rPr>
            </w:pPr>
            <w:r w:rsidRPr="001151CE">
              <w:rPr>
                <w:szCs w:val="18"/>
              </w:rPr>
              <w:t>Morphine equivalent dosing</w:t>
            </w:r>
          </w:p>
        </w:tc>
        <w:tc>
          <w:tcPr>
            <w:tcW w:w="3656" w:type="dxa"/>
          </w:tcPr>
          <w:p w14:paraId="722ACF18" w14:textId="60CCBEE5" w:rsidR="001151CE" w:rsidRPr="001151CE" w:rsidRDefault="001151CE" w:rsidP="001151CE">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 xml:space="preserve">MED </w:t>
            </w:r>
            <w:hyperlink r:id="rId77" w:history="1">
              <w:r w:rsidRPr="001151CE">
                <w:rPr>
                  <w:rStyle w:val="Hyperlink"/>
                  <w:szCs w:val="18"/>
                </w:rPr>
                <w:t>calculator</w:t>
              </w:r>
            </w:hyperlink>
          </w:p>
        </w:tc>
        <w:tc>
          <w:tcPr>
            <w:tcW w:w="4084" w:type="dxa"/>
          </w:tcPr>
          <w:p w14:paraId="722ACF19" w14:textId="676BF1E3" w:rsidR="001151CE" w:rsidRPr="001151CE" w:rsidRDefault="001151CE" w:rsidP="001151CE">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First opioid prescription and every change in opioid prescription</w:t>
            </w:r>
          </w:p>
        </w:tc>
      </w:tr>
      <w:tr w:rsidR="00CC7E67" w:rsidRPr="001151CE" w14:paraId="722ACF22" w14:textId="77777777" w:rsidTr="009842C2">
        <w:tc>
          <w:tcPr>
            <w:cnfStyle w:val="001000000000" w:firstRow="0" w:lastRow="0" w:firstColumn="1" w:lastColumn="0" w:oddVBand="0" w:evenVBand="0" w:oddHBand="0" w:evenHBand="0" w:firstRowFirstColumn="0" w:firstRowLastColumn="0" w:lastRowFirstColumn="0" w:lastRowLastColumn="0"/>
            <w:tcW w:w="3055" w:type="dxa"/>
          </w:tcPr>
          <w:p w14:paraId="722ACF1F" w14:textId="77777777" w:rsidR="00CC7E67" w:rsidRPr="001151CE" w:rsidRDefault="00CC7E67" w:rsidP="00CC7E67">
            <w:pPr>
              <w:pStyle w:val="TableParagraph"/>
              <w:rPr>
                <w:szCs w:val="18"/>
              </w:rPr>
            </w:pPr>
            <w:r w:rsidRPr="001151CE">
              <w:rPr>
                <w:szCs w:val="18"/>
              </w:rPr>
              <w:t>Anxiety, depression</w:t>
            </w:r>
          </w:p>
        </w:tc>
        <w:tc>
          <w:tcPr>
            <w:tcW w:w="3656" w:type="dxa"/>
          </w:tcPr>
          <w:p w14:paraId="722ACF20" w14:textId="083A87DF" w:rsidR="00CC7E67" w:rsidRPr="001151CE" w:rsidRDefault="00ED04EF" w:rsidP="00CC7E67">
            <w:pPr>
              <w:pStyle w:val="TableParagraph"/>
              <w:cnfStyle w:val="000000000000" w:firstRow="0" w:lastRow="0" w:firstColumn="0" w:lastColumn="0" w:oddVBand="0" w:evenVBand="0" w:oddHBand="0" w:evenHBand="0" w:firstRowFirstColumn="0" w:firstRowLastColumn="0" w:lastRowFirstColumn="0" w:lastRowLastColumn="0"/>
              <w:rPr>
                <w:szCs w:val="18"/>
              </w:rPr>
            </w:pPr>
            <w:hyperlink r:id="rId78" w:history="1">
              <w:r w:rsidR="001151CE" w:rsidRPr="001151CE">
                <w:rPr>
                  <w:rStyle w:val="Hyperlink"/>
                  <w:szCs w:val="18"/>
                </w:rPr>
                <w:t>PHQ</w:t>
              </w:r>
            </w:hyperlink>
            <w:r w:rsidR="001151CE" w:rsidRPr="001151CE">
              <w:rPr>
                <w:szCs w:val="18"/>
              </w:rPr>
              <w:t xml:space="preserve">, </w:t>
            </w:r>
            <w:hyperlink r:id="rId79" w:history="1">
              <w:r w:rsidR="001151CE" w:rsidRPr="001151CE">
                <w:rPr>
                  <w:rStyle w:val="Hyperlink"/>
                  <w:szCs w:val="18"/>
                </w:rPr>
                <w:t>GAD-7</w:t>
              </w:r>
            </w:hyperlink>
          </w:p>
        </w:tc>
        <w:tc>
          <w:tcPr>
            <w:tcW w:w="4084" w:type="dxa"/>
          </w:tcPr>
          <w:p w14:paraId="722ACF21" w14:textId="3E9DFA15" w:rsidR="00CC7E67" w:rsidRPr="001151CE" w:rsidRDefault="00ED04EF" w:rsidP="00CC7E67">
            <w:pPr>
              <w:pStyle w:val="TableParagraph"/>
              <w:cnfStyle w:val="000000000000" w:firstRow="0" w:lastRow="0" w:firstColumn="0" w:lastColumn="0" w:oddVBand="0" w:evenVBand="0" w:oddHBand="0" w:evenHBand="0" w:firstRowFirstColumn="0" w:firstRowLastColumn="0" w:lastRowFirstColumn="0" w:lastRowLastColumn="0"/>
              <w:rPr>
                <w:szCs w:val="18"/>
              </w:rPr>
            </w:pPr>
            <w:hyperlink w:anchor="_Appendix:_Risk_Stratification" w:history="1">
              <w:r w:rsidR="00444DE8" w:rsidRPr="001151CE">
                <w:rPr>
                  <w:rStyle w:val="Hyperlink"/>
                  <w:szCs w:val="18"/>
                </w:rPr>
                <w:t>According to risk level</w:t>
              </w:r>
            </w:hyperlink>
          </w:p>
        </w:tc>
      </w:tr>
      <w:tr w:rsidR="006449A7" w:rsidRPr="001151CE" w14:paraId="722ACF2A" w14:textId="77777777" w:rsidTr="00984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22ACF27" w14:textId="77777777" w:rsidR="006449A7" w:rsidRPr="001151CE" w:rsidRDefault="006449A7" w:rsidP="006449A7">
            <w:pPr>
              <w:pStyle w:val="TableParagraph"/>
              <w:rPr>
                <w:szCs w:val="18"/>
              </w:rPr>
            </w:pPr>
            <w:r w:rsidRPr="001151CE">
              <w:rPr>
                <w:szCs w:val="18"/>
              </w:rPr>
              <w:t>PTSD</w:t>
            </w:r>
          </w:p>
        </w:tc>
        <w:tc>
          <w:tcPr>
            <w:tcW w:w="3656" w:type="dxa"/>
          </w:tcPr>
          <w:p w14:paraId="722ACF28" w14:textId="2E6E3CD0" w:rsidR="006449A7" w:rsidRPr="001151CE" w:rsidRDefault="00ED04EF" w:rsidP="006449A7">
            <w:pPr>
              <w:pStyle w:val="TableParagraph"/>
              <w:cnfStyle w:val="000000100000" w:firstRow="0" w:lastRow="0" w:firstColumn="0" w:lastColumn="0" w:oddVBand="0" w:evenVBand="0" w:oddHBand="1" w:evenHBand="0" w:firstRowFirstColumn="0" w:firstRowLastColumn="0" w:lastRowFirstColumn="0" w:lastRowLastColumn="0"/>
              <w:rPr>
                <w:szCs w:val="18"/>
              </w:rPr>
            </w:pPr>
            <w:hyperlink r:id="rId80" w:history="1">
              <w:r w:rsidR="006449A7" w:rsidRPr="001151CE">
                <w:rPr>
                  <w:rStyle w:val="Hyperlink"/>
                  <w:szCs w:val="18"/>
                </w:rPr>
                <w:t>PC-PTSD</w:t>
              </w:r>
            </w:hyperlink>
          </w:p>
        </w:tc>
        <w:tc>
          <w:tcPr>
            <w:tcW w:w="4084" w:type="dxa"/>
          </w:tcPr>
          <w:p w14:paraId="722ACF29" w14:textId="77777777" w:rsidR="006449A7" w:rsidRPr="001151CE" w:rsidRDefault="006449A7" w:rsidP="006449A7">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If elevated PHQ or GAD despite active treatment</w:t>
            </w:r>
          </w:p>
        </w:tc>
      </w:tr>
      <w:tr w:rsidR="005B6994" w:rsidRPr="001151CE" w14:paraId="722ACF2E" w14:textId="77777777" w:rsidTr="009842C2">
        <w:tc>
          <w:tcPr>
            <w:cnfStyle w:val="001000000000" w:firstRow="0" w:lastRow="0" w:firstColumn="1" w:lastColumn="0" w:oddVBand="0" w:evenVBand="0" w:oddHBand="0" w:evenHBand="0" w:firstRowFirstColumn="0" w:firstRowLastColumn="0" w:lastRowFirstColumn="0" w:lastRowLastColumn="0"/>
            <w:tcW w:w="3055" w:type="dxa"/>
          </w:tcPr>
          <w:p w14:paraId="722ACF2B" w14:textId="77777777" w:rsidR="005B6994" w:rsidRPr="001151CE" w:rsidRDefault="005B6994" w:rsidP="005B6994">
            <w:pPr>
              <w:pStyle w:val="TableParagraph"/>
              <w:rPr>
                <w:szCs w:val="18"/>
              </w:rPr>
            </w:pPr>
            <w:r w:rsidRPr="001151CE">
              <w:rPr>
                <w:szCs w:val="18"/>
              </w:rPr>
              <w:t>Sleep apnea</w:t>
            </w:r>
          </w:p>
        </w:tc>
        <w:tc>
          <w:tcPr>
            <w:tcW w:w="3656" w:type="dxa"/>
          </w:tcPr>
          <w:p w14:paraId="722ACF2C" w14:textId="4EB0A7B1" w:rsidR="005B6994" w:rsidRPr="001151CE" w:rsidRDefault="00ED04EF" w:rsidP="005B6994">
            <w:pPr>
              <w:pStyle w:val="TableParagraph"/>
              <w:cnfStyle w:val="000000000000" w:firstRow="0" w:lastRow="0" w:firstColumn="0" w:lastColumn="0" w:oddVBand="0" w:evenVBand="0" w:oddHBand="0" w:evenHBand="0" w:firstRowFirstColumn="0" w:firstRowLastColumn="0" w:lastRowFirstColumn="0" w:lastRowLastColumn="0"/>
              <w:rPr>
                <w:szCs w:val="18"/>
              </w:rPr>
            </w:pPr>
            <w:hyperlink r:id="rId81" w:history="1">
              <w:r w:rsidR="005B6994" w:rsidRPr="001151CE">
                <w:rPr>
                  <w:rStyle w:val="Hyperlink"/>
                  <w:szCs w:val="18"/>
                </w:rPr>
                <w:t>STOPBang</w:t>
              </w:r>
            </w:hyperlink>
          </w:p>
        </w:tc>
        <w:tc>
          <w:tcPr>
            <w:tcW w:w="4084" w:type="dxa"/>
          </w:tcPr>
          <w:p w14:paraId="722ACF2D" w14:textId="1EB8F7BE" w:rsidR="005B6994" w:rsidRPr="001151CE" w:rsidRDefault="005B6994" w:rsidP="005B6994">
            <w:pPr>
              <w:pStyle w:val="TableParagraph"/>
              <w:cnfStyle w:val="000000000000" w:firstRow="0" w:lastRow="0" w:firstColumn="0" w:lastColumn="0" w:oddVBand="0" w:evenVBand="0" w:oddHBand="0" w:evenHBand="0" w:firstRowFirstColumn="0" w:firstRowLastColumn="0" w:lastRowFirstColumn="0" w:lastRowLastColumn="0"/>
            </w:pPr>
            <w:r w:rsidRPr="001151CE">
              <w:t>When co-occurring risks</w:t>
            </w:r>
            <w:r>
              <w:t xml:space="preserve">: </w:t>
            </w:r>
            <w:r w:rsidRPr="001151CE">
              <w:t>MED ≥ 50</w:t>
            </w:r>
            <w:r>
              <w:t xml:space="preserve">, </w:t>
            </w:r>
            <w:r w:rsidRPr="001151CE">
              <w:t xml:space="preserve">Concurrent use of benzodiazepines </w:t>
            </w:r>
            <w:r>
              <w:t xml:space="preserve">, </w:t>
            </w:r>
            <w:r w:rsidRPr="001151CE">
              <w:t>COPD</w:t>
            </w:r>
            <w:r>
              <w:t>, r</w:t>
            </w:r>
            <w:r w:rsidRPr="001151CE">
              <w:t>estrictive lung disease, including kyphosis or thoracic scoliosis</w:t>
            </w:r>
            <w:r>
              <w:t xml:space="preserve">, </w:t>
            </w:r>
            <w:r w:rsidRPr="001151CE">
              <w:t>BMI &gt; 28</w:t>
            </w:r>
            <w:r>
              <w:t>, s</w:t>
            </w:r>
            <w:r w:rsidRPr="001151CE">
              <w:t>noring</w:t>
            </w:r>
            <w:r>
              <w:t>, f</w:t>
            </w:r>
            <w:r w:rsidRPr="001151CE">
              <w:t>atigue</w:t>
            </w:r>
            <w:r>
              <w:t>, w</w:t>
            </w:r>
            <w:r w:rsidRPr="001151CE">
              <w:t>itnessed irregular breathing</w:t>
            </w:r>
          </w:p>
        </w:tc>
      </w:tr>
      <w:tr w:rsidR="005B6994" w:rsidRPr="001151CE" w14:paraId="722ACF32" w14:textId="77777777" w:rsidTr="00984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22ACF2F" w14:textId="77777777" w:rsidR="005B6994" w:rsidRPr="001151CE" w:rsidRDefault="005B6994" w:rsidP="005B6994">
            <w:pPr>
              <w:pStyle w:val="TableParagraph"/>
              <w:rPr>
                <w:szCs w:val="18"/>
              </w:rPr>
            </w:pPr>
            <w:r w:rsidRPr="001151CE">
              <w:rPr>
                <w:szCs w:val="18"/>
              </w:rPr>
              <w:t>Fibromyalgia</w:t>
            </w:r>
          </w:p>
        </w:tc>
        <w:tc>
          <w:tcPr>
            <w:tcW w:w="3656" w:type="dxa"/>
          </w:tcPr>
          <w:p w14:paraId="722ACF30" w14:textId="6081B13E" w:rsidR="005B6994" w:rsidRPr="001151CE" w:rsidRDefault="00ED04EF" w:rsidP="005B6994">
            <w:pPr>
              <w:pStyle w:val="TableParagraph"/>
              <w:cnfStyle w:val="000000100000" w:firstRow="0" w:lastRow="0" w:firstColumn="0" w:lastColumn="0" w:oddVBand="0" w:evenVBand="0" w:oddHBand="1" w:evenHBand="0" w:firstRowFirstColumn="0" w:firstRowLastColumn="0" w:lastRowFirstColumn="0" w:lastRowLastColumn="0"/>
              <w:rPr>
                <w:szCs w:val="18"/>
              </w:rPr>
            </w:pPr>
            <w:hyperlink r:id="rId82" w:history="1">
              <w:r w:rsidR="005B6994" w:rsidRPr="001151CE">
                <w:rPr>
                  <w:rStyle w:val="Hyperlink"/>
                  <w:szCs w:val="18"/>
                </w:rPr>
                <w:t>FIQ</w:t>
              </w:r>
            </w:hyperlink>
          </w:p>
        </w:tc>
        <w:tc>
          <w:tcPr>
            <w:tcW w:w="4084" w:type="dxa"/>
          </w:tcPr>
          <w:p w14:paraId="722ACF31" w14:textId="69D859CC" w:rsidR="005B6994" w:rsidRPr="001151CE" w:rsidRDefault="005B6994" w:rsidP="005B6994">
            <w:pPr>
              <w:pStyle w:val="TableParagraph"/>
              <w:cnfStyle w:val="000000100000" w:firstRow="0" w:lastRow="0" w:firstColumn="0" w:lastColumn="0" w:oddVBand="0" w:evenVBand="0" w:oddHBand="1" w:evenHBand="0" w:firstRowFirstColumn="0" w:firstRowLastColumn="0" w:lastRowFirstColumn="0" w:lastRowLastColumn="0"/>
              <w:rPr>
                <w:szCs w:val="18"/>
              </w:rPr>
            </w:pPr>
            <w:r w:rsidRPr="001151CE">
              <w:rPr>
                <w:szCs w:val="18"/>
              </w:rPr>
              <w:t>As appropriate if pain is widespread and co-occurring symptoms such as fatigue, poor sleep, depression, abdominal and/or urogenital pain during diagnosis</w:t>
            </w:r>
          </w:p>
        </w:tc>
      </w:tr>
    </w:tbl>
    <w:p w14:paraId="6183D418" w14:textId="77777777" w:rsidR="00EC6AF1" w:rsidRDefault="00EC6AF1" w:rsidP="00B82872">
      <w:pPr>
        <w:pStyle w:val="BodyText"/>
      </w:pPr>
      <w:bookmarkStart w:id="25" w:name="_Toc1997747"/>
      <w:bookmarkStart w:id="26" w:name="_Toc1997830"/>
    </w:p>
    <w:p w14:paraId="3FDFB813" w14:textId="43CA1235" w:rsidR="00BC1297" w:rsidRDefault="00BC1297" w:rsidP="00CC2C3B">
      <w:pPr>
        <w:pStyle w:val="Heading2"/>
        <w:shd w:val="clear" w:color="auto" w:fill="FFF2CC" w:themeFill="accent4" w:themeFillTint="33"/>
      </w:pPr>
      <w:bookmarkStart w:id="27" w:name="_Section_5"/>
      <w:bookmarkEnd w:id="27"/>
      <w:r>
        <w:t>Section 5</w:t>
      </w:r>
    </w:p>
    <w:p w14:paraId="0B9D4053" w14:textId="3300C704" w:rsidR="0087330F" w:rsidRDefault="003A5097" w:rsidP="00CC2C3B">
      <w:pPr>
        <w:pStyle w:val="Subtitle"/>
        <w:shd w:val="clear" w:color="auto" w:fill="FFF2CC" w:themeFill="accent4" w:themeFillTint="33"/>
      </w:pPr>
      <w:r>
        <w:t>What to do in the case of concerning behaviors</w:t>
      </w:r>
    </w:p>
    <w:p w14:paraId="78A1BEE9" w14:textId="0F8152EE" w:rsidR="0087330F" w:rsidRDefault="003A5097" w:rsidP="0087330F">
      <w:pPr>
        <w:pStyle w:val="BodyText"/>
      </w:pPr>
      <w:r>
        <w:t>This section pertains to</w:t>
      </w:r>
      <w:r w:rsidR="00193789">
        <w:t xml:space="preserve"> patients </w:t>
      </w:r>
      <w:r w:rsidR="00D220D6">
        <w:t xml:space="preserve">who </w:t>
      </w:r>
      <w:r w:rsidR="00193789">
        <w:t xml:space="preserve">demonstrate concerning behaviors, such as </w:t>
      </w:r>
      <w:r>
        <w:t xml:space="preserve">repeated </w:t>
      </w:r>
      <w:hyperlink w:anchor="_Aberrant_Behaviors" w:history="1">
        <w:r w:rsidR="00765A09" w:rsidRPr="00DD3D8C">
          <w:rPr>
            <w:rStyle w:val="Hyperlink"/>
          </w:rPr>
          <w:t>aberrant</w:t>
        </w:r>
        <w:r w:rsidR="0087330F" w:rsidRPr="00DD3D8C">
          <w:rPr>
            <w:rStyle w:val="Hyperlink"/>
          </w:rPr>
          <w:t xml:space="preserve"> behaviors</w:t>
        </w:r>
      </w:hyperlink>
      <w:r>
        <w:t xml:space="preserve">, </w:t>
      </w:r>
      <w:r w:rsidR="00695149">
        <w:t>inapprop</w:t>
      </w:r>
      <w:r w:rsidR="00D220D6">
        <w:t>r</w:t>
      </w:r>
      <w:r w:rsidR="00695149">
        <w:t xml:space="preserve">iate behavior with </w:t>
      </w:r>
      <w:r w:rsidR="00193789">
        <w:t>staff or clinicians, diver</w:t>
      </w:r>
      <w:r w:rsidR="00E2609C">
        <w:t>sion of</w:t>
      </w:r>
      <w:r w:rsidR="00193789">
        <w:t xml:space="preserve"> medication, or </w:t>
      </w:r>
      <w:r w:rsidR="00E2609C">
        <w:t xml:space="preserve">use of </w:t>
      </w:r>
      <w:r w:rsidR="00193789">
        <w:t>non-prescribed substances that put the patient at risk.</w:t>
      </w:r>
    </w:p>
    <w:p w14:paraId="5CDC6C58" w14:textId="2609580A" w:rsidR="002F744D" w:rsidRDefault="00193789" w:rsidP="0087330F">
      <w:pPr>
        <w:pStyle w:val="Bullet"/>
      </w:pPr>
      <w:r w:rsidRPr="003113B5">
        <w:t xml:space="preserve">In </w:t>
      </w:r>
      <w:r w:rsidRPr="002F744D">
        <w:rPr>
          <w:rStyle w:val="Strong"/>
        </w:rPr>
        <w:t>all cases of concerning behavior</w:t>
      </w:r>
      <w:r w:rsidRPr="003113B5">
        <w:t xml:space="preserve">, </w:t>
      </w:r>
      <w:r w:rsidR="00D865E8" w:rsidRPr="003113B5">
        <w:t xml:space="preserve">meet with </w:t>
      </w:r>
      <w:r w:rsidR="00F17B0A" w:rsidRPr="003113B5">
        <w:t>the patient</w:t>
      </w:r>
      <w:r w:rsidR="00D865E8" w:rsidRPr="003113B5">
        <w:t xml:space="preserve">, ask </w:t>
      </w:r>
      <w:r w:rsidR="00C74BD3">
        <w:t xml:space="preserve">them </w:t>
      </w:r>
      <w:r w:rsidR="00F17B0A" w:rsidRPr="003113B5">
        <w:t xml:space="preserve">to explain </w:t>
      </w:r>
      <w:r w:rsidR="006D55CD" w:rsidRPr="003113B5">
        <w:t xml:space="preserve">the behavior </w:t>
      </w:r>
      <w:r w:rsidR="00F17B0A" w:rsidRPr="003113B5">
        <w:t xml:space="preserve">and </w:t>
      </w:r>
      <w:r w:rsidRPr="003113B5">
        <w:t>a</w:t>
      </w:r>
      <w:r w:rsidR="0087330F" w:rsidRPr="003113B5">
        <w:t>ssess</w:t>
      </w:r>
      <w:r w:rsidRPr="003113B5">
        <w:t xml:space="preserve"> for </w:t>
      </w:r>
      <w:hyperlink w:anchor="_Opioid_management_assessment" w:history="1">
        <w:r w:rsidRPr="003113B5">
          <w:rPr>
            <w:rStyle w:val="Hyperlink"/>
          </w:rPr>
          <w:t>opioid use disorder</w:t>
        </w:r>
      </w:hyperlink>
      <w:r w:rsidRPr="003113B5">
        <w:t xml:space="preserve"> (e.g., </w:t>
      </w:r>
      <w:r w:rsidR="001A7C88" w:rsidRPr="003113B5">
        <w:t xml:space="preserve">thoughtful use of </w:t>
      </w:r>
      <w:hyperlink r:id="rId83" w:history="1">
        <w:r w:rsidR="001A7C88" w:rsidRPr="00807792">
          <w:rPr>
            <w:rStyle w:val="Hyperlink"/>
          </w:rPr>
          <w:t>DSM-5</w:t>
        </w:r>
      </w:hyperlink>
      <w:r w:rsidR="002C0CB3">
        <w:t xml:space="preserve"> as described by the </w:t>
      </w:r>
      <w:hyperlink r:id="rId84" w:history="1">
        <w:r w:rsidR="002C0CB3" w:rsidRPr="002C0CB3">
          <w:rPr>
            <w:rStyle w:val="Hyperlink"/>
          </w:rPr>
          <w:t>CDC</w:t>
        </w:r>
      </w:hyperlink>
      <w:r w:rsidRPr="003113B5">
        <w:t>)</w:t>
      </w:r>
      <w:r w:rsidR="000D53F6" w:rsidRPr="003113B5">
        <w:t xml:space="preserve"> or other </w:t>
      </w:r>
      <w:hyperlink w:anchor="_Substance_use_misuse," w:history="1">
        <w:r w:rsidR="000D53F6" w:rsidRPr="003113B5">
          <w:rPr>
            <w:rStyle w:val="Hyperlink"/>
          </w:rPr>
          <w:t>substance use disorders</w:t>
        </w:r>
      </w:hyperlink>
      <w:r w:rsidRPr="003113B5">
        <w:t>.</w:t>
      </w:r>
      <w:r w:rsidR="0087330F" w:rsidRPr="003113B5">
        <w:t xml:space="preserve"> </w:t>
      </w:r>
    </w:p>
    <w:p w14:paraId="0F4BE71C" w14:textId="7B6C2906" w:rsidR="00193789" w:rsidRDefault="00DD3D8C" w:rsidP="0087330F">
      <w:pPr>
        <w:pStyle w:val="Bullet"/>
      </w:pPr>
      <w:r w:rsidRPr="003113B5">
        <w:t>If</w:t>
      </w:r>
      <w:r w:rsidRPr="00A42244">
        <w:t xml:space="preserve"> you identify </w:t>
      </w:r>
      <w:r w:rsidR="00E2609C">
        <w:t xml:space="preserve">that </w:t>
      </w:r>
      <w:r w:rsidRPr="00A42244">
        <w:t xml:space="preserve">a patient has </w:t>
      </w:r>
      <w:r w:rsidRPr="002F744D">
        <w:rPr>
          <w:rStyle w:val="Strong"/>
        </w:rPr>
        <w:t>opioid use disorder</w:t>
      </w:r>
      <w:r w:rsidRPr="00A42244">
        <w:t xml:space="preserve">, discuss </w:t>
      </w:r>
      <w:r w:rsidR="006D55CD">
        <w:t xml:space="preserve">appropriate </w:t>
      </w:r>
      <w:r w:rsidRPr="00A42244">
        <w:t xml:space="preserve">treatment </w:t>
      </w:r>
      <w:r w:rsidR="006D55CD">
        <w:t>choices and e</w:t>
      </w:r>
      <w:r w:rsidR="00E93934">
        <w:t>i</w:t>
      </w:r>
      <w:r w:rsidR="006D55CD">
        <w:t xml:space="preserve">ther provide </w:t>
      </w:r>
      <w:r w:rsidRPr="00A42244">
        <w:t xml:space="preserve">buprenorphine </w:t>
      </w:r>
      <w:r w:rsidR="006D55CD">
        <w:t xml:space="preserve">treatment </w:t>
      </w:r>
      <w:r w:rsidRPr="00A42244">
        <w:t>or a refer</w:t>
      </w:r>
      <w:r w:rsidR="00E93934">
        <w:t>ral</w:t>
      </w:r>
      <w:r w:rsidRPr="00A42244">
        <w:t xml:space="preserve"> to an opioid treatment program for </w:t>
      </w:r>
      <w:r w:rsidR="006D55CD">
        <w:t xml:space="preserve">buprenorphine or </w:t>
      </w:r>
      <w:r w:rsidRPr="00A42244">
        <w:t xml:space="preserve">methadone. </w:t>
      </w:r>
      <w:r w:rsidR="00F0384D" w:rsidRPr="00A42244">
        <w:t>Also</w:t>
      </w:r>
      <w:r w:rsidR="00F0384D">
        <w:t xml:space="preserve"> provide a referral</w:t>
      </w:r>
      <w:r w:rsidR="00E2609C">
        <w:t xml:space="preserve"> to</w:t>
      </w:r>
      <w:r w:rsidR="00F0384D">
        <w:t xml:space="preserve"> behavioral health services, if available. </w:t>
      </w:r>
      <w:r w:rsidR="00F17B0A" w:rsidRPr="00D440C3">
        <w:t xml:space="preserve">If transferring to another location for care, </w:t>
      </w:r>
      <w:r w:rsidR="006D55CD" w:rsidRPr="00D440C3">
        <w:t>make sure there is</w:t>
      </w:r>
      <w:r w:rsidR="00F17B0A" w:rsidRPr="00D440C3">
        <w:t xml:space="preserve"> a “warm handoff”</w:t>
      </w:r>
      <w:r w:rsidR="006D55CD" w:rsidRPr="00D440C3">
        <w:t xml:space="preserve"> (e.g., by speaking directly with the accepting cli</w:t>
      </w:r>
      <w:r w:rsidR="006D55CD" w:rsidRPr="00F0384D">
        <w:t>nic to ensure the patient will be accepted or to make the first appointment).</w:t>
      </w:r>
      <w:r w:rsidR="00695149" w:rsidRPr="00F0384D" w:rsidDel="00695149">
        <w:t xml:space="preserve"> </w:t>
      </w:r>
    </w:p>
    <w:p w14:paraId="4C997BFA" w14:textId="77777777" w:rsidR="00387352" w:rsidRPr="00760456" w:rsidRDefault="00387352" w:rsidP="00387352">
      <w:pPr>
        <w:pStyle w:val="Heading3"/>
      </w:pPr>
      <w:r w:rsidRPr="00760456">
        <w:t xml:space="preserve">If a patient fails to present for a </w:t>
      </w:r>
      <w:r>
        <w:t>urine</w:t>
      </w:r>
      <w:r w:rsidRPr="00760456">
        <w:t xml:space="preserve"> drug </w:t>
      </w:r>
      <w:r>
        <w:t>test:</w:t>
      </w:r>
    </w:p>
    <w:p w14:paraId="373606B4" w14:textId="3484D445" w:rsidR="00387352" w:rsidRDefault="00387352" w:rsidP="00387352">
      <w:pPr>
        <w:pStyle w:val="Bullet"/>
      </w:pPr>
      <w:r>
        <w:t>Make a</w:t>
      </w:r>
      <w:r w:rsidRPr="00760456">
        <w:t xml:space="preserve">rrangements </w:t>
      </w:r>
      <w:r>
        <w:t xml:space="preserve">for another </w:t>
      </w:r>
      <w:r w:rsidRPr="00760456">
        <w:t xml:space="preserve">random </w:t>
      </w:r>
      <w:r>
        <w:t xml:space="preserve">urine </w:t>
      </w:r>
      <w:r w:rsidRPr="00760456">
        <w:t xml:space="preserve">drug </w:t>
      </w:r>
      <w:r>
        <w:t xml:space="preserve">test. Explain that </w:t>
      </w:r>
      <w:r w:rsidR="006D55CD">
        <w:t>this is the clinic’s standard procedure for</w:t>
      </w:r>
      <w:r>
        <w:t xml:space="preserve"> prescrib</w:t>
      </w:r>
      <w:r w:rsidR="006D55CD">
        <w:t>ing</w:t>
      </w:r>
      <w:r>
        <w:t xml:space="preserve"> opioids</w:t>
      </w:r>
      <w:r w:rsidR="006D55CD">
        <w:t>, and is required for all patients who receive opioid medications</w:t>
      </w:r>
      <w:r>
        <w:t xml:space="preserve">. </w:t>
      </w:r>
    </w:p>
    <w:p w14:paraId="114BB5E7" w14:textId="57BC7344" w:rsidR="00426277" w:rsidRDefault="00387352" w:rsidP="00387352">
      <w:pPr>
        <w:pStyle w:val="Bullet"/>
      </w:pPr>
      <w:r w:rsidRPr="00760456">
        <w:t xml:space="preserve">If the patient fails to </w:t>
      </w:r>
      <w:r>
        <w:t>show a</w:t>
      </w:r>
      <w:r w:rsidRPr="00760456">
        <w:t xml:space="preserve"> second time, </w:t>
      </w:r>
      <w:r w:rsidR="006D55CD">
        <w:t>contact the</w:t>
      </w:r>
      <w:r>
        <w:t xml:space="preserve"> patient</w:t>
      </w:r>
      <w:r w:rsidR="006D55CD">
        <w:t xml:space="preserve"> to let </w:t>
      </w:r>
      <w:r w:rsidR="00AD0B5F">
        <w:t>them</w:t>
      </w:r>
      <w:r w:rsidR="006D55CD">
        <w:t xml:space="preserve"> know that </w:t>
      </w:r>
      <w:r w:rsidR="00AD0B5F">
        <w:t>they</w:t>
      </w:r>
      <w:r w:rsidR="00426277">
        <w:t xml:space="preserve"> need to have a clinic visit with </w:t>
      </w:r>
      <w:r w:rsidR="00AD0B5F">
        <w:t>their</w:t>
      </w:r>
      <w:r w:rsidR="00426277">
        <w:t xml:space="preserve"> assigned prescribing provider prior to their next opioid refill</w:t>
      </w:r>
      <w:r w:rsidR="006D55CD">
        <w:t>. If the patient does not come in for the requested visit before the tim</w:t>
      </w:r>
      <w:r w:rsidR="00426277">
        <w:t>e of the next opioid refill, notify the patient</w:t>
      </w:r>
      <w:r w:rsidR="006D55CD">
        <w:t xml:space="preserve"> that</w:t>
      </w:r>
      <w:r w:rsidR="00426277">
        <w:t xml:space="preserve"> no opioid refill is possible prior to meeting with </w:t>
      </w:r>
      <w:r w:rsidR="00AD0B5F">
        <w:t>their</w:t>
      </w:r>
      <w:r w:rsidR="00426277">
        <w:t xml:space="preserve"> provider. </w:t>
      </w:r>
    </w:p>
    <w:p w14:paraId="71137EC5" w14:textId="23B7B289" w:rsidR="00387352" w:rsidRDefault="00387352" w:rsidP="00387352">
      <w:pPr>
        <w:pStyle w:val="Heading3"/>
      </w:pPr>
      <w:r>
        <w:t>When to begin a tapering protocol tailored to the patient</w:t>
      </w:r>
      <w:r w:rsidR="00D865E8">
        <w:t xml:space="preserve"> with concerning behaviors</w:t>
      </w:r>
    </w:p>
    <w:p w14:paraId="13F339DD" w14:textId="739EE3F9" w:rsidR="00387352" w:rsidRDefault="00426277" w:rsidP="00E93934">
      <w:pPr>
        <w:pStyle w:val="Bullet"/>
      </w:pPr>
      <w:r>
        <w:t>P</w:t>
      </w:r>
      <w:r w:rsidR="00387352">
        <w:t>atient</w:t>
      </w:r>
      <w:r>
        <w:t>s</w:t>
      </w:r>
      <w:r w:rsidR="00387352">
        <w:t xml:space="preserve"> </w:t>
      </w:r>
      <w:r>
        <w:t xml:space="preserve">who have </w:t>
      </w:r>
      <w:r w:rsidR="00387352">
        <w:t>had repeated aberrant behaviors</w:t>
      </w:r>
      <w:r w:rsidR="00D865E8">
        <w:t xml:space="preserve"> despite having</w:t>
      </w:r>
      <w:r>
        <w:t xml:space="preserve"> </w:t>
      </w:r>
      <w:r w:rsidR="00D865E8">
        <w:t>met</w:t>
      </w:r>
      <w:r>
        <w:t xml:space="preserve"> with their prescribing provider </w:t>
      </w:r>
      <w:r w:rsidR="00D865E8">
        <w:t xml:space="preserve">and been given the opportunity </w:t>
      </w:r>
      <w:r>
        <w:t xml:space="preserve">to </w:t>
      </w:r>
      <w:r w:rsidR="00D865E8">
        <w:t>change</w:t>
      </w:r>
      <w:r>
        <w:t xml:space="preserve"> the behaviors, and the provider feels that he or she should no longer prescribe opioids</w:t>
      </w:r>
      <w:r w:rsidR="00E93934">
        <w:t>.</w:t>
      </w:r>
    </w:p>
    <w:p w14:paraId="319CB35B" w14:textId="3A8F8AD4" w:rsidR="00D440C3" w:rsidRPr="00F17B0A" w:rsidRDefault="00D440C3" w:rsidP="00E93934">
      <w:pPr>
        <w:pStyle w:val="Bullet"/>
      </w:pPr>
      <w:r>
        <w:t xml:space="preserve">Patients with untreated sleep apnea, a recent overdose, or use of </w:t>
      </w:r>
      <w:hyperlink w:anchor="_Use_of_any" w:history="1">
        <w:r w:rsidRPr="00D440C3">
          <w:rPr>
            <w:rStyle w:val="Hyperlink"/>
          </w:rPr>
          <w:t>concurrent nervous system depressants</w:t>
        </w:r>
      </w:hyperlink>
      <w:r>
        <w:t>.</w:t>
      </w:r>
    </w:p>
    <w:p w14:paraId="5E46F0AE" w14:textId="0E593FB2" w:rsidR="00387352" w:rsidRDefault="00387352" w:rsidP="007A58C5">
      <w:pPr>
        <w:pStyle w:val="Heading3"/>
      </w:pPr>
      <w:r>
        <w:t>When to rapid</w:t>
      </w:r>
      <w:r w:rsidR="00426277">
        <w:t>ly</w:t>
      </w:r>
      <w:r w:rsidR="009F2AED">
        <w:t xml:space="preserve"> taper opioids</w:t>
      </w:r>
    </w:p>
    <w:p w14:paraId="628C351A" w14:textId="00E49D35" w:rsidR="00387352" w:rsidRDefault="002F744D" w:rsidP="00387352">
      <w:pPr>
        <w:pStyle w:val="Bullet"/>
      </w:pPr>
      <w:r>
        <w:t>P</w:t>
      </w:r>
      <w:r w:rsidR="00387352">
        <w:t>atient</w:t>
      </w:r>
      <w:r>
        <w:t>s</w:t>
      </w:r>
      <w:r w:rsidR="00387352">
        <w:t xml:space="preserve"> </w:t>
      </w:r>
      <w:r w:rsidR="00426277">
        <w:t>using substances</w:t>
      </w:r>
      <w:r w:rsidR="00387352">
        <w:t xml:space="preserve"> that are very dangerous to mix with opioids, suc</w:t>
      </w:r>
      <w:r w:rsidR="007A58C5">
        <w:t xml:space="preserve">h </w:t>
      </w:r>
      <w:r w:rsidR="00387352">
        <w:t xml:space="preserve">as cocaine or </w:t>
      </w:r>
      <w:r w:rsidR="00765A09">
        <w:t>methamphetamines</w:t>
      </w:r>
      <w:r w:rsidR="00387352">
        <w:t>.</w:t>
      </w:r>
    </w:p>
    <w:p w14:paraId="5A384CC5" w14:textId="4187AA9A" w:rsidR="0087330F" w:rsidRDefault="00DD3D8C" w:rsidP="00DD3D8C">
      <w:pPr>
        <w:pStyle w:val="Heading3"/>
      </w:pPr>
      <w:r>
        <w:t>When to discontinue opioids immediately</w:t>
      </w:r>
    </w:p>
    <w:p w14:paraId="55BBE8E1" w14:textId="53A0B934" w:rsidR="0087330F" w:rsidRDefault="002F744D" w:rsidP="00DD3D8C">
      <w:pPr>
        <w:pStyle w:val="Bullet"/>
      </w:pPr>
      <w:r>
        <w:t>P</w:t>
      </w:r>
      <w:r w:rsidR="00DD3D8C">
        <w:t>atient</w:t>
      </w:r>
      <w:r>
        <w:t>s</w:t>
      </w:r>
      <w:r w:rsidR="00DD3D8C">
        <w:t xml:space="preserve"> </w:t>
      </w:r>
      <w:r w:rsidR="0087330F">
        <w:t>diverting</w:t>
      </w:r>
      <w:r w:rsidR="00DD3D8C">
        <w:t xml:space="preserve"> their prescribed opioids.</w:t>
      </w:r>
    </w:p>
    <w:p w14:paraId="3FE7C412" w14:textId="5E0766A7" w:rsidR="00281BF7" w:rsidRDefault="00281BF7" w:rsidP="00DD3D8C">
      <w:pPr>
        <w:pStyle w:val="Heading3"/>
      </w:pPr>
      <w:r>
        <w:t>When to discontinue health care</w:t>
      </w:r>
    </w:p>
    <w:p w14:paraId="5CFA0D60" w14:textId="111D3153" w:rsidR="00F17B0A" w:rsidRPr="00F17B0A" w:rsidRDefault="00F17B0A" w:rsidP="00D440C3">
      <w:pPr>
        <w:pStyle w:val="Bullet"/>
      </w:pPr>
      <w:r>
        <w:t>In most cases, it is important to continue to provide health care to patients, even if you are</w:t>
      </w:r>
      <w:r w:rsidR="00426277">
        <w:t xml:space="preserve"> </w:t>
      </w:r>
      <w:r>
        <w:t>no longer prescribing opioids.</w:t>
      </w:r>
    </w:p>
    <w:p w14:paraId="09542F5E" w14:textId="2FCDC5A7" w:rsidR="00890170" w:rsidRDefault="00F17B0A" w:rsidP="00D440C3">
      <w:pPr>
        <w:pStyle w:val="Bullet"/>
      </w:pPr>
      <w:r>
        <w:t xml:space="preserve">However, </w:t>
      </w:r>
      <w:r w:rsidRPr="00D440C3">
        <w:t>in</w:t>
      </w:r>
      <w:r>
        <w:t xml:space="preserve"> </w:t>
      </w:r>
      <w:r w:rsidR="00CA3FEF">
        <w:t>some cases the organization might consider discontinuing health care to the pa</w:t>
      </w:r>
      <w:r w:rsidR="007A58C5">
        <w:t>tient, such as p</w:t>
      </w:r>
      <w:r w:rsidR="00281BF7">
        <w:t>ersistent, unacceptable</w:t>
      </w:r>
      <w:r w:rsidR="00890170">
        <w:t>,</w:t>
      </w:r>
      <w:r w:rsidR="00281BF7">
        <w:t xml:space="preserve"> </w:t>
      </w:r>
      <w:r w:rsidR="00426277">
        <w:t>inappropriate behavior with</w:t>
      </w:r>
      <w:r w:rsidR="00281BF7">
        <w:t xml:space="preserve"> staff or clinicians</w:t>
      </w:r>
      <w:r w:rsidR="007A58C5">
        <w:t>.</w:t>
      </w:r>
    </w:p>
    <w:bookmarkEnd w:id="25"/>
    <w:bookmarkEnd w:id="26"/>
    <w:p w14:paraId="72655286" w14:textId="399FD044" w:rsidR="00CE5B0B" w:rsidRDefault="005E126F" w:rsidP="005C2A91">
      <w:pPr>
        <w:pStyle w:val="BodyText"/>
      </w:pPr>
      <w:r>
        <w:t xml:space="preserve">If </w:t>
      </w:r>
      <w:r w:rsidR="009C4E50">
        <w:t xml:space="preserve">opioids are </w:t>
      </w:r>
      <w:r>
        <w:t xml:space="preserve">terminated, a letter of </w:t>
      </w:r>
      <w:r w:rsidR="00D865E8">
        <w:t xml:space="preserve">opioid </w:t>
      </w:r>
      <w:r>
        <w:t xml:space="preserve">medication termination, including potential treatment options, is sent to the patient and a copy placed in the medical record. </w:t>
      </w:r>
      <w:r w:rsidR="00480665">
        <w:t xml:space="preserve">We encourage </w:t>
      </w:r>
      <w:r w:rsidR="00E74CDF">
        <w:t>continuing</w:t>
      </w:r>
      <w:r w:rsidR="00480665">
        <w:t xml:space="preserve"> </w:t>
      </w:r>
      <w:r w:rsidR="00D865E8">
        <w:t xml:space="preserve">to </w:t>
      </w:r>
      <w:r w:rsidR="00480665">
        <w:t>car</w:t>
      </w:r>
      <w:r w:rsidR="00D865E8">
        <w:t>e</w:t>
      </w:r>
      <w:r w:rsidR="00480665">
        <w:t xml:space="preserve"> for the patient’s chronic pain and </w:t>
      </w:r>
      <w:r w:rsidR="00E74CDF">
        <w:t>primary</w:t>
      </w:r>
      <w:r w:rsidR="00480665">
        <w:t xml:space="preserve"> care. </w:t>
      </w:r>
    </w:p>
    <w:p w14:paraId="722ACF69" w14:textId="5329CAC9" w:rsidR="00261DEE" w:rsidRDefault="005E126F" w:rsidP="005C2A91">
      <w:pPr>
        <w:pStyle w:val="BodyText"/>
      </w:pPr>
      <w:r>
        <w:t>I</w:t>
      </w:r>
      <w:r w:rsidR="00134E92">
        <w:t>f health care is terminated,</w:t>
      </w:r>
      <w:r w:rsidR="009F2AED">
        <w:t xml:space="preserve"> the organization</w:t>
      </w:r>
      <w:r w:rsidR="00134E92">
        <w:t xml:space="preserve"> send</w:t>
      </w:r>
      <w:r w:rsidR="009F2AED">
        <w:t>s</w:t>
      </w:r>
      <w:r w:rsidR="00134E92">
        <w:t xml:space="preserve"> a </w:t>
      </w:r>
      <w:r w:rsidR="009F2AED">
        <w:t xml:space="preserve">health care </w:t>
      </w:r>
      <w:r w:rsidR="00134E92">
        <w:t>termination letter</w:t>
      </w:r>
      <w:r w:rsidR="00182E59">
        <w:t xml:space="preserve"> that includes options for where to seek care and how to transfer care</w:t>
      </w:r>
      <w:r w:rsidR="00134E92">
        <w:t xml:space="preserve">. </w:t>
      </w:r>
      <w:r w:rsidRPr="00760456">
        <w:t xml:space="preserve">Such a decision must be reviewed and finalized by the Medical Director. </w:t>
      </w:r>
    </w:p>
    <w:p w14:paraId="7ED8ACFD" w14:textId="77777777" w:rsidR="009656AB" w:rsidRDefault="009656AB">
      <w:pPr>
        <w:rPr>
          <w:rFonts w:ascii="Corbel" w:eastAsiaTheme="majorEastAsia" w:hAnsi="Corbel" w:cstheme="majorBidi"/>
          <w:sz w:val="52"/>
          <w:szCs w:val="32"/>
        </w:rPr>
      </w:pPr>
      <w:bookmarkStart w:id="28" w:name="_Appendix_A:_Risk"/>
      <w:bookmarkEnd w:id="28"/>
      <w:r>
        <w:br w:type="page"/>
      </w:r>
    </w:p>
    <w:p w14:paraId="305047A1" w14:textId="5A6564CB" w:rsidR="00383720" w:rsidRDefault="00AA5D0A" w:rsidP="00383720">
      <w:pPr>
        <w:pStyle w:val="Heading1"/>
      </w:pPr>
      <w:bookmarkStart w:id="29" w:name="_Appendix:_Risk_Stratification"/>
      <w:bookmarkEnd w:id="29"/>
      <w:r>
        <w:t>Appendix</w:t>
      </w:r>
      <w:r w:rsidR="00383720">
        <w:t>: Risk Stratification and Opioid Prescribing</w:t>
      </w:r>
    </w:p>
    <w:p w14:paraId="4E1BC541" w14:textId="1A98D6D9" w:rsidR="00383720" w:rsidRPr="00744949" w:rsidRDefault="00383720" w:rsidP="00383720">
      <w:pPr>
        <w:spacing w:after="0" w:line="240" w:lineRule="auto"/>
        <w:rPr>
          <w:rFonts w:eastAsia="Times New Roman" w:cs="Times New Roman"/>
        </w:rPr>
      </w:pPr>
      <w:r w:rsidRPr="00744949">
        <w:rPr>
          <w:rFonts w:ascii="Corbel" w:hAnsi="Corbel"/>
          <w:sz w:val="20"/>
          <w:szCs w:val="20"/>
        </w:rPr>
        <w:t xml:space="preserve">Washington </w:t>
      </w:r>
      <w:r>
        <w:rPr>
          <w:rFonts w:ascii="Corbel" w:hAnsi="Corbel"/>
          <w:sz w:val="20"/>
          <w:szCs w:val="20"/>
        </w:rPr>
        <w:t xml:space="preserve">State </w:t>
      </w:r>
      <w:r w:rsidR="003302B4">
        <w:rPr>
          <w:rFonts w:ascii="Corbel" w:hAnsi="Corbel"/>
          <w:sz w:val="20"/>
          <w:szCs w:val="20"/>
        </w:rPr>
        <w:t xml:space="preserve">opioid </w:t>
      </w:r>
      <w:r>
        <w:rPr>
          <w:rFonts w:ascii="Corbel" w:hAnsi="Corbel"/>
          <w:sz w:val="20"/>
          <w:szCs w:val="20"/>
        </w:rPr>
        <w:t>prescribing</w:t>
      </w:r>
      <w:r w:rsidRPr="003C58BA">
        <w:rPr>
          <w:rStyle w:val="BodyTextChar"/>
        </w:rPr>
        <w:t xml:space="preserve"> rules </w:t>
      </w:r>
      <w:r w:rsidR="003302B4">
        <w:rPr>
          <w:rStyle w:val="BodyTextChar"/>
        </w:rPr>
        <w:t>suggest varying</w:t>
      </w:r>
      <w:r w:rsidRPr="003C58BA">
        <w:rPr>
          <w:rStyle w:val="BodyTextChar"/>
        </w:rPr>
        <w:t xml:space="preserve"> care for patients using long-term opioid therapy based on the patient’s risk of adverse outcomes. Assessing risk is best performed using professionally developed and clinically recommended risk assessment</w:t>
      </w:r>
      <w:r w:rsidRPr="00744949">
        <w:rPr>
          <w:rFonts w:ascii="Corbel" w:hAnsi="Corbel"/>
          <w:sz w:val="20"/>
          <w:szCs w:val="20"/>
        </w:rPr>
        <w:t xml:space="preserve"> tools to assign patients to a high-, medium-</w:t>
      </w:r>
      <w:r>
        <w:rPr>
          <w:rFonts w:ascii="Corbel" w:hAnsi="Corbel"/>
          <w:sz w:val="20"/>
          <w:szCs w:val="20"/>
        </w:rPr>
        <w:t>,</w:t>
      </w:r>
      <w:r w:rsidRPr="00744949">
        <w:rPr>
          <w:rFonts w:ascii="Corbel" w:hAnsi="Corbel"/>
          <w:sz w:val="20"/>
          <w:szCs w:val="20"/>
        </w:rPr>
        <w:t xml:space="preserve"> or low-risk category.</w:t>
      </w:r>
      <w:r w:rsidR="003302B4">
        <w:rPr>
          <w:rFonts w:ascii="Corbel" w:hAnsi="Corbel"/>
          <w:sz w:val="20"/>
          <w:szCs w:val="20"/>
        </w:rPr>
        <w:t xml:space="preserve"> The following resource helps primary care practices do this. The risk categories and care variance is based on the Washington State opioid prescribing rules.</w:t>
      </w:r>
    </w:p>
    <w:p w14:paraId="1A6B2323" w14:textId="7476F5EE" w:rsidR="00383720" w:rsidRDefault="00383720" w:rsidP="00383720">
      <w:pPr>
        <w:pStyle w:val="Heading2"/>
      </w:pPr>
      <w:r>
        <w:t xml:space="preserve">Risk categories </w:t>
      </w:r>
    </w:p>
    <w:p w14:paraId="1B2FA4FF" w14:textId="785E3E22" w:rsidR="00383720" w:rsidRPr="009F2754" w:rsidRDefault="00383720" w:rsidP="00383720">
      <w:pPr>
        <w:pStyle w:val="Bullet"/>
      </w:pPr>
      <w:r w:rsidRPr="00A56059">
        <w:rPr>
          <w:b/>
        </w:rPr>
        <w:t>High risk</w:t>
      </w:r>
      <w:r>
        <w:t>:</w:t>
      </w:r>
      <w:r w:rsidRPr="009F2754">
        <w:t xml:space="preserve"> </w:t>
      </w:r>
      <w:r>
        <w:t xml:space="preserve">This includes </w:t>
      </w:r>
      <w:r w:rsidRPr="009F2754">
        <w:t>patient</w:t>
      </w:r>
      <w:r>
        <w:t>s</w:t>
      </w:r>
      <w:r w:rsidRPr="009F2754">
        <w:t xml:space="preserve"> at high risk of opioid-induced morbidity or mortality, based on factors and combinations of factors such as </w:t>
      </w:r>
      <w:hyperlink w:anchor="_Medical_and_behavioral" w:history="1">
        <w:r w:rsidRPr="00C772CF">
          <w:rPr>
            <w:rStyle w:val="Hyperlink"/>
          </w:rPr>
          <w:t>medical and behavioral comorbidities</w:t>
        </w:r>
      </w:hyperlink>
      <w:r w:rsidRPr="009F2754">
        <w:t>, polypharmacy, </w:t>
      </w:r>
      <w:r w:rsidRPr="007C3146">
        <w:t xml:space="preserve">current </w:t>
      </w:r>
      <w:hyperlink w:anchor="_Substance_use_disorder" w:history="1">
        <w:r w:rsidRPr="00E16BC8">
          <w:rPr>
            <w:rStyle w:val="Hyperlink"/>
          </w:rPr>
          <w:t>substance use disorder or abuse</w:t>
        </w:r>
      </w:hyperlink>
      <w:r w:rsidRPr="007C3146">
        <w:t xml:space="preserve">, </w:t>
      </w:r>
      <w:hyperlink w:anchor="_Aberrant_Behaviors" w:history="1">
        <w:r w:rsidRPr="00E16BC8">
          <w:rPr>
            <w:rStyle w:val="Hyperlink"/>
          </w:rPr>
          <w:t>aberrant behavior</w:t>
        </w:r>
      </w:hyperlink>
      <w:r w:rsidRPr="007C3146">
        <w:t xml:space="preserve">, </w:t>
      </w:r>
      <w:hyperlink w:anchor="_Dose_of_opioids" w:history="1">
        <w:r w:rsidRPr="00E16BC8">
          <w:rPr>
            <w:rStyle w:val="Hyperlink"/>
          </w:rPr>
          <w:t>dose of opioids</w:t>
        </w:r>
      </w:hyperlink>
      <w:r w:rsidRPr="007C3146">
        <w:t xml:space="preserve">, or the use of </w:t>
      </w:r>
      <w:hyperlink w:anchor="_Use_of_any" w:history="1">
        <w:r w:rsidRPr="00C772CF">
          <w:rPr>
            <w:rStyle w:val="Hyperlink"/>
          </w:rPr>
          <w:t xml:space="preserve">any concurrent </w:t>
        </w:r>
        <w:r w:rsidR="002C0CB3">
          <w:rPr>
            <w:rStyle w:val="Hyperlink"/>
          </w:rPr>
          <w:t>sedatives</w:t>
        </w:r>
      </w:hyperlink>
      <w:r w:rsidRPr="009F2754">
        <w:t>.</w:t>
      </w:r>
      <w:r>
        <w:t xml:space="preserve"> </w:t>
      </w:r>
      <w:r w:rsidR="00685C27">
        <w:t>A</w:t>
      </w:r>
      <w:r>
        <w:t>ny patient using &gt;90 MED per day is considered high risk.</w:t>
      </w:r>
    </w:p>
    <w:p w14:paraId="0DD995B8" w14:textId="60BC29B0" w:rsidR="00383720" w:rsidRPr="009F2754" w:rsidRDefault="00383720" w:rsidP="00383720">
      <w:pPr>
        <w:pStyle w:val="Bullet"/>
      </w:pPr>
      <w:r>
        <w:rPr>
          <w:b/>
        </w:rPr>
        <w:t xml:space="preserve">Moderate </w:t>
      </w:r>
      <w:r w:rsidRPr="00A56059">
        <w:rPr>
          <w:b/>
        </w:rPr>
        <w:t>risk</w:t>
      </w:r>
      <w:r>
        <w:t>:</w:t>
      </w:r>
      <w:r w:rsidRPr="009F2754">
        <w:t xml:space="preserve"> </w:t>
      </w:r>
      <w:r>
        <w:t xml:space="preserve">This includes </w:t>
      </w:r>
      <w:r w:rsidRPr="009F2754">
        <w:t>patient</w:t>
      </w:r>
      <w:r>
        <w:t>s</w:t>
      </w:r>
      <w:r w:rsidRPr="009F2754">
        <w:t xml:space="preserve"> at moderate risk of opioid-induced morbidity or mortality, based on factors and combinations of factors such as medical and behavioral comorbidities, polypharmacy, </w:t>
      </w:r>
      <w:r w:rsidRPr="007C3146">
        <w:t xml:space="preserve">history of substance use disorder or abuse, </w:t>
      </w:r>
      <w:r>
        <w:t xml:space="preserve">and </w:t>
      </w:r>
      <w:r w:rsidRPr="007C3146">
        <w:t>aberrant behavior.</w:t>
      </w:r>
      <w:r>
        <w:t xml:space="preserve"> In addition, any patient using </w:t>
      </w:r>
      <w:r w:rsidRPr="00BC65D5">
        <w:t>50-90</w:t>
      </w:r>
      <w:r>
        <w:t xml:space="preserve"> MED per day without other factors that increase their risk level is considered moderate risk.</w:t>
      </w:r>
    </w:p>
    <w:p w14:paraId="6F516777" w14:textId="53B00DA1" w:rsidR="00383720" w:rsidRDefault="00383720" w:rsidP="00383720">
      <w:pPr>
        <w:pStyle w:val="Bullet"/>
      </w:pPr>
      <w:r w:rsidRPr="00A56059">
        <w:rPr>
          <w:b/>
        </w:rPr>
        <w:t>Low risk:</w:t>
      </w:r>
      <w:r w:rsidRPr="009F2754">
        <w:t xml:space="preserve"> </w:t>
      </w:r>
      <w:r>
        <w:t xml:space="preserve">This includes </w:t>
      </w:r>
      <w:r w:rsidRPr="009F2754">
        <w:t>patient</w:t>
      </w:r>
      <w:r>
        <w:t>s</w:t>
      </w:r>
      <w:r w:rsidRPr="009F2754">
        <w:t xml:space="preserve"> at low risk of opioid-induced morbidity or mortality, based on factors and combinations of factors such as medical and behavioral comorbidities, polypharmacy</w:t>
      </w:r>
      <w:r>
        <w:t>. Patients must use &lt;50 MED per day to qualify as low risk. However, some patients using &lt;50 MED per day may be at moderate or high risk, based on other risk factors.</w:t>
      </w:r>
    </w:p>
    <w:p w14:paraId="20FB4634" w14:textId="77777777" w:rsidR="00383720" w:rsidRDefault="00383720" w:rsidP="00383720">
      <w:pPr>
        <w:pStyle w:val="BodyText"/>
      </w:pPr>
      <w:r>
        <w:t>It is the responsibility of the medical provider prescribing opioid medication to identify the risk level of each patient and vary their care based on risk.</w:t>
      </w:r>
    </w:p>
    <w:p w14:paraId="62C10A09" w14:textId="77777777" w:rsidR="00383720" w:rsidRDefault="00383720" w:rsidP="00383720">
      <w:pPr>
        <w:pStyle w:val="Heading2"/>
      </w:pPr>
      <w:r>
        <w:t>How to vary care based on risk</w:t>
      </w:r>
    </w:p>
    <w:tbl>
      <w:tblPr>
        <w:tblStyle w:val="TableGrid"/>
        <w:tblW w:w="10908" w:type="dxa"/>
        <w:tblBorders>
          <w:top w:val="none" w:sz="0" w:space="0" w:color="auto"/>
          <w:left w:val="none" w:sz="0" w:space="0" w:color="auto"/>
          <w:bottom w:val="single" w:sz="4" w:space="0" w:color="AEAAAA" w:themeColor="background2" w:themeShade="BF"/>
          <w:right w:val="none" w:sz="0" w:space="0" w:color="auto"/>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705"/>
        <w:gridCol w:w="2610"/>
        <w:gridCol w:w="6593"/>
      </w:tblGrid>
      <w:tr w:rsidR="00383720" w:rsidRPr="00885501" w14:paraId="7B9F4EFA" w14:textId="77777777" w:rsidTr="00BC65D5">
        <w:tc>
          <w:tcPr>
            <w:tcW w:w="1705" w:type="dxa"/>
            <w:shd w:val="clear" w:color="auto" w:fill="2F5496" w:themeFill="accent5" w:themeFillShade="BF"/>
          </w:tcPr>
          <w:p w14:paraId="12DD5562" w14:textId="77777777" w:rsidR="00383720" w:rsidRPr="00885501" w:rsidRDefault="00383720" w:rsidP="004F32B0">
            <w:pPr>
              <w:pStyle w:val="tablehead"/>
            </w:pPr>
            <w:r w:rsidRPr="00885501">
              <w:t>Risk Category</w:t>
            </w:r>
          </w:p>
        </w:tc>
        <w:tc>
          <w:tcPr>
            <w:tcW w:w="2610" w:type="dxa"/>
            <w:shd w:val="clear" w:color="auto" w:fill="2F5496" w:themeFill="accent5" w:themeFillShade="BF"/>
          </w:tcPr>
          <w:p w14:paraId="502159BB" w14:textId="580DEDD5" w:rsidR="00383720" w:rsidRPr="00885501" w:rsidRDefault="00383720" w:rsidP="004F32B0">
            <w:pPr>
              <w:pStyle w:val="tablehead"/>
            </w:pPr>
            <w:r w:rsidRPr="00885501">
              <w:t>Frequency of monitoring</w:t>
            </w:r>
            <w:r>
              <w:t xml:space="preserve"> (visits, UDTs, P</w:t>
            </w:r>
            <w:r w:rsidR="004C6841">
              <w:t>D</w:t>
            </w:r>
            <w:r>
              <w:t>MP checks)</w:t>
            </w:r>
          </w:p>
        </w:tc>
        <w:tc>
          <w:tcPr>
            <w:tcW w:w="6593" w:type="dxa"/>
            <w:shd w:val="clear" w:color="auto" w:fill="2F5496" w:themeFill="accent5" w:themeFillShade="BF"/>
          </w:tcPr>
          <w:p w14:paraId="2A7C3F90" w14:textId="77777777" w:rsidR="00383720" w:rsidRPr="00885501" w:rsidRDefault="00383720" w:rsidP="004F32B0">
            <w:pPr>
              <w:pStyle w:val="tablehead"/>
            </w:pPr>
            <w:r w:rsidRPr="00885501">
              <w:t>Additional recommendations</w:t>
            </w:r>
          </w:p>
        </w:tc>
      </w:tr>
      <w:tr w:rsidR="00383720" w:rsidRPr="00885501" w14:paraId="357A44BA" w14:textId="77777777" w:rsidTr="00BC65D5">
        <w:tc>
          <w:tcPr>
            <w:tcW w:w="1705" w:type="dxa"/>
            <w:shd w:val="clear" w:color="auto" w:fill="D9E2F3" w:themeFill="accent5" w:themeFillTint="33"/>
          </w:tcPr>
          <w:p w14:paraId="29A5BA98" w14:textId="77777777" w:rsidR="00383720" w:rsidRPr="00885501" w:rsidRDefault="00383720" w:rsidP="004F32B0">
            <w:pPr>
              <w:pStyle w:val="TableParagraph"/>
              <w:rPr>
                <w:sz w:val="20"/>
                <w:szCs w:val="20"/>
              </w:rPr>
            </w:pPr>
            <w:r>
              <w:rPr>
                <w:sz w:val="20"/>
                <w:szCs w:val="20"/>
              </w:rPr>
              <w:t xml:space="preserve">High </w:t>
            </w:r>
            <w:r w:rsidRPr="00885501">
              <w:rPr>
                <w:sz w:val="20"/>
                <w:szCs w:val="20"/>
              </w:rPr>
              <w:t>risk</w:t>
            </w:r>
          </w:p>
        </w:tc>
        <w:tc>
          <w:tcPr>
            <w:tcW w:w="2610" w:type="dxa"/>
          </w:tcPr>
          <w:p w14:paraId="55F410BD" w14:textId="77777777" w:rsidR="00383720" w:rsidRPr="00885501" w:rsidRDefault="00383720" w:rsidP="004F32B0">
            <w:pPr>
              <w:pStyle w:val="TableParagraph"/>
              <w:rPr>
                <w:sz w:val="20"/>
                <w:szCs w:val="20"/>
              </w:rPr>
            </w:pPr>
            <w:r w:rsidRPr="00885501">
              <w:rPr>
                <w:sz w:val="20"/>
                <w:szCs w:val="20"/>
              </w:rPr>
              <w:t>Every 3 months</w:t>
            </w:r>
          </w:p>
        </w:tc>
        <w:tc>
          <w:tcPr>
            <w:tcW w:w="6593" w:type="dxa"/>
          </w:tcPr>
          <w:p w14:paraId="0F33135B" w14:textId="77777777" w:rsidR="00383720" w:rsidRPr="00885501" w:rsidRDefault="00383720" w:rsidP="004F32B0">
            <w:pPr>
              <w:pStyle w:val="TableParagraph"/>
              <w:rPr>
                <w:sz w:val="20"/>
                <w:szCs w:val="20"/>
              </w:rPr>
            </w:pPr>
            <w:r w:rsidRPr="00885501">
              <w:rPr>
                <w:sz w:val="20"/>
                <w:szCs w:val="20"/>
              </w:rPr>
              <w:t xml:space="preserve">Consider referring </w:t>
            </w:r>
            <w:r>
              <w:rPr>
                <w:sz w:val="20"/>
                <w:szCs w:val="20"/>
              </w:rPr>
              <w:t>to a pain specialist</w:t>
            </w:r>
            <w:r w:rsidRPr="00885501">
              <w:rPr>
                <w:sz w:val="20"/>
                <w:szCs w:val="20"/>
              </w:rPr>
              <w:t xml:space="preserve"> for additional evaluation and treatment needed to achieve treatment objectives. Confirm or provide a current prescription for naloxone when opioids are prescribed.</w:t>
            </w:r>
          </w:p>
        </w:tc>
      </w:tr>
      <w:tr w:rsidR="00383720" w:rsidRPr="00885501" w14:paraId="41D36DF9" w14:textId="77777777" w:rsidTr="00BC65D5">
        <w:tc>
          <w:tcPr>
            <w:tcW w:w="1705" w:type="dxa"/>
            <w:shd w:val="clear" w:color="auto" w:fill="D9E2F3" w:themeFill="accent5" w:themeFillTint="33"/>
          </w:tcPr>
          <w:p w14:paraId="2EAB7607" w14:textId="77777777" w:rsidR="00383720" w:rsidRPr="00885501" w:rsidRDefault="00383720" w:rsidP="004F32B0">
            <w:pPr>
              <w:pStyle w:val="TableParagraph"/>
              <w:rPr>
                <w:sz w:val="20"/>
                <w:szCs w:val="20"/>
              </w:rPr>
            </w:pPr>
            <w:r w:rsidRPr="00885501">
              <w:rPr>
                <w:sz w:val="20"/>
                <w:szCs w:val="20"/>
              </w:rPr>
              <w:t>Moderate</w:t>
            </w:r>
            <w:r>
              <w:rPr>
                <w:sz w:val="20"/>
                <w:szCs w:val="20"/>
              </w:rPr>
              <w:t xml:space="preserve"> </w:t>
            </w:r>
            <w:r w:rsidRPr="00885501">
              <w:rPr>
                <w:sz w:val="20"/>
                <w:szCs w:val="20"/>
              </w:rPr>
              <w:t>risk</w:t>
            </w:r>
          </w:p>
        </w:tc>
        <w:tc>
          <w:tcPr>
            <w:tcW w:w="2610" w:type="dxa"/>
          </w:tcPr>
          <w:p w14:paraId="02DBB7F3" w14:textId="77777777" w:rsidR="00383720" w:rsidRPr="00885501" w:rsidRDefault="00383720" w:rsidP="004F32B0">
            <w:pPr>
              <w:pStyle w:val="TableParagraph"/>
              <w:rPr>
                <w:sz w:val="20"/>
                <w:szCs w:val="20"/>
              </w:rPr>
            </w:pPr>
            <w:r w:rsidRPr="00885501">
              <w:rPr>
                <w:sz w:val="20"/>
                <w:szCs w:val="20"/>
              </w:rPr>
              <w:t>Twice a year</w:t>
            </w:r>
          </w:p>
        </w:tc>
        <w:tc>
          <w:tcPr>
            <w:tcW w:w="6593" w:type="dxa"/>
          </w:tcPr>
          <w:p w14:paraId="422C8ABE" w14:textId="77777777" w:rsidR="00383720" w:rsidRPr="00885501" w:rsidRDefault="00383720" w:rsidP="004F32B0">
            <w:pPr>
              <w:pStyle w:val="TableParagraph"/>
              <w:rPr>
                <w:sz w:val="20"/>
                <w:szCs w:val="20"/>
              </w:rPr>
            </w:pPr>
            <w:r>
              <w:rPr>
                <w:sz w:val="20"/>
                <w:szCs w:val="20"/>
              </w:rPr>
              <w:t>I</w:t>
            </w:r>
            <w:r w:rsidRPr="00885501">
              <w:rPr>
                <w:sz w:val="20"/>
                <w:szCs w:val="20"/>
              </w:rPr>
              <w:t xml:space="preserve">ncrease monitoring </w:t>
            </w:r>
            <w:r>
              <w:rPr>
                <w:sz w:val="20"/>
                <w:szCs w:val="20"/>
              </w:rPr>
              <w:t>if any evidence of</w:t>
            </w:r>
            <w:r w:rsidRPr="00885501">
              <w:rPr>
                <w:sz w:val="20"/>
                <w:szCs w:val="20"/>
              </w:rPr>
              <w:t xml:space="preserve"> aberrant behavior.</w:t>
            </w:r>
            <w:r>
              <w:rPr>
                <w:sz w:val="20"/>
                <w:szCs w:val="20"/>
              </w:rPr>
              <w:t xml:space="preserve"> </w:t>
            </w:r>
            <w:r w:rsidRPr="00885501">
              <w:rPr>
                <w:sz w:val="20"/>
                <w:szCs w:val="20"/>
              </w:rPr>
              <w:t>Confirm or provide a current prescription for naloxone when opioids are prescribed.</w:t>
            </w:r>
          </w:p>
        </w:tc>
      </w:tr>
      <w:tr w:rsidR="00383720" w:rsidRPr="00885501" w14:paraId="46D26A6D" w14:textId="77777777" w:rsidTr="00BC65D5">
        <w:tc>
          <w:tcPr>
            <w:tcW w:w="1705" w:type="dxa"/>
            <w:shd w:val="clear" w:color="auto" w:fill="D9E2F3" w:themeFill="accent5" w:themeFillTint="33"/>
          </w:tcPr>
          <w:p w14:paraId="672EB6DB" w14:textId="77777777" w:rsidR="00383720" w:rsidRPr="00885501" w:rsidRDefault="00383720" w:rsidP="004F32B0">
            <w:pPr>
              <w:pStyle w:val="TableParagraph"/>
              <w:rPr>
                <w:sz w:val="20"/>
                <w:szCs w:val="20"/>
              </w:rPr>
            </w:pPr>
            <w:r>
              <w:rPr>
                <w:sz w:val="20"/>
                <w:szCs w:val="20"/>
              </w:rPr>
              <w:t xml:space="preserve">Low </w:t>
            </w:r>
            <w:r w:rsidRPr="00885501">
              <w:rPr>
                <w:sz w:val="20"/>
                <w:szCs w:val="20"/>
              </w:rPr>
              <w:t>risk</w:t>
            </w:r>
          </w:p>
        </w:tc>
        <w:tc>
          <w:tcPr>
            <w:tcW w:w="2610" w:type="dxa"/>
          </w:tcPr>
          <w:p w14:paraId="0629E1C1" w14:textId="77777777" w:rsidR="00383720" w:rsidRPr="00885501" w:rsidRDefault="00383720" w:rsidP="004F32B0">
            <w:pPr>
              <w:pStyle w:val="TableParagraph"/>
              <w:rPr>
                <w:sz w:val="20"/>
                <w:szCs w:val="20"/>
              </w:rPr>
            </w:pPr>
            <w:r w:rsidRPr="00885501">
              <w:rPr>
                <w:sz w:val="20"/>
                <w:szCs w:val="20"/>
              </w:rPr>
              <w:t>Once a year</w:t>
            </w:r>
          </w:p>
        </w:tc>
        <w:tc>
          <w:tcPr>
            <w:tcW w:w="6593" w:type="dxa"/>
          </w:tcPr>
          <w:p w14:paraId="0FC655B3" w14:textId="77777777" w:rsidR="00383720" w:rsidRPr="00885501" w:rsidRDefault="00383720" w:rsidP="004F32B0">
            <w:pPr>
              <w:pStyle w:val="TableParagraph"/>
              <w:rPr>
                <w:sz w:val="20"/>
                <w:szCs w:val="20"/>
              </w:rPr>
            </w:pPr>
            <w:r>
              <w:rPr>
                <w:sz w:val="20"/>
                <w:szCs w:val="20"/>
              </w:rPr>
              <w:t>Increase</w:t>
            </w:r>
            <w:r w:rsidRPr="00885501">
              <w:rPr>
                <w:sz w:val="20"/>
                <w:szCs w:val="20"/>
              </w:rPr>
              <w:t xml:space="preserve"> monitoring </w:t>
            </w:r>
            <w:r>
              <w:rPr>
                <w:sz w:val="20"/>
                <w:szCs w:val="20"/>
              </w:rPr>
              <w:t xml:space="preserve">if any evidence of </w:t>
            </w:r>
            <w:r w:rsidRPr="00885501">
              <w:rPr>
                <w:sz w:val="20"/>
                <w:szCs w:val="20"/>
              </w:rPr>
              <w:t>aberrant behavior.</w:t>
            </w:r>
          </w:p>
        </w:tc>
      </w:tr>
    </w:tbl>
    <w:p w14:paraId="1149AC7F" w14:textId="77777777" w:rsidR="00383720" w:rsidRDefault="00383720" w:rsidP="00383720"/>
    <w:p w14:paraId="400CC2CF" w14:textId="77777777" w:rsidR="00BC65D5" w:rsidRDefault="00BC65D5">
      <w:pPr>
        <w:rPr>
          <w:rFonts w:ascii="Corbel" w:eastAsiaTheme="majorEastAsia" w:hAnsi="Corbel" w:cstheme="majorBidi"/>
          <w:bCs/>
          <w:color w:val="000000" w:themeColor="text1"/>
          <w:sz w:val="32"/>
          <w:szCs w:val="52"/>
        </w:rPr>
      </w:pPr>
      <w:bookmarkStart w:id="30" w:name="_How__to"/>
      <w:bookmarkEnd w:id="30"/>
      <w:r>
        <w:br w:type="page"/>
      </w:r>
    </w:p>
    <w:p w14:paraId="526B2FE5" w14:textId="51FBB2F2" w:rsidR="00383720" w:rsidRDefault="00383720" w:rsidP="00383720">
      <w:pPr>
        <w:pStyle w:val="Heading2"/>
        <w:spacing w:after="0"/>
      </w:pPr>
      <w:bookmarkStart w:id="31" w:name="_How_to_measure"/>
      <w:bookmarkEnd w:id="31"/>
      <w:r>
        <w:t>How to measure risk</w:t>
      </w:r>
    </w:p>
    <w:p w14:paraId="75194106" w14:textId="77777777" w:rsidR="00383720" w:rsidRPr="006B3BD5" w:rsidRDefault="00383720" w:rsidP="00383720">
      <w:pPr>
        <w:pStyle w:val="BodyText"/>
        <w:rPr>
          <w:i/>
        </w:rPr>
      </w:pPr>
      <w:r w:rsidRPr="006B3BD5">
        <w:rPr>
          <w:i/>
        </w:rPr>
        <w:t xml:space="preserve">Below are suggested approaches to measuring </w:t>
      </w:r>
      <w:r>
        <w:rPr>
          <w:i/>
        </w:rPr>
        <w:t xml:space="preserve">different types of </w:t>
      </w:r>
      <w:r w:rsidRPr="006B3BD5">
        <w:rPr>
          <w:i/>
        </w:rPr>
        <w:t>risks along with links to the tools.</w:t>
      </w:r>
    </w:p>
    <w:p w14:paraId="3FA21E04" w14:textId="768B309B" w:rsidR="003F3077" w:rsidRPr="009F2754" w:rsidRDefault="003F3077" w:rsidP="003F3077">
      <w:pPr>
        <w:pStyle w:val="BodyText"/>
      </w:pPr>
      <w:bookmarkStart w:id="32" w:name="_Substance_use_disorder"/>
      <w:bookmarkStart w:id="33" w:name="_Medical_and_behavioral"/>
      <w:bookmarkEnd w:id="32"/>
      <w:bookmarkEnd w:id="33"/>
      <w:r>
        <w:t xml:space="preserve">Risk factors for </w:t>
      </w:r>
      <w:r w:rsidRPr="0033344D">
        <w:rPr>
          <w:rStyle w:val="Strong"/>
        </w:rPr>
        <w:t>opioid-induced morbidity or mortality</w:t>
      </w:r>
      <w:r w:rsidRPr="009F2754">
        <w:t xml:space="preserve"> </w:t>
      </w:r>
      <w:r>
        <w:t>include</w:t>
      </w:r>
      <w:r w:rsidRPr="009F2754">
        <w:t xml:space="preserve"> </w:t>
      </w:r>
      <w:hyperlink w:anchor="_Medical_and_behavioral" w:history="1">
        <w:r w:rsidRPr="00C772CF">
          <w:rPr>
            <w:rStyle w:val="Hyperlink"/>
          </w:rPr>
          <w:t>medical and behavioral comorbidities</w:t>
        </w:r>
      </w:hyperlink>
      <w:r w:rsidRPr="009F2754">
        <w:t>, polypharmacy, </w:t>
      </w:r>
      <w:r w:rsidRPr="007C3146">
        <w:t xml:space="preserve">current </w:t>
      </w:r>
      <w:hyperlink w:anchor="_Substance_use_disorder" w:history="1">
        <w:r w:rsidRPr="00E16BC8">
          <w:rPr>
            <w:rStyle w:val="Hyperlink"/>
          </w:rPr>
          <w:t>substance use disorder or abuse</w:t>
        </w:r>
      </w:hyperlink>
      <w:r w:rsidRPr="007C3146">
        <w:t xml:space="preserve">, </w:t>
      </w:r>
      <w:hyperlink w:anchor="_Aberrant_Behaviors" w:history="1">
        <w:r w:rsidRPr="00E16BC8">
          <w:rPr>
            <w:rStyle w:val="Hyperlink"/>
          </w:rPr>
          <w:t>aberrant behavior</w:t>
        </w:r>
      </w:hyperlink>
      <w:r w:rsidRPr="007C3146">
        <w:t xml:space="preserve">, </w:t>
      </w:r>
      <w:hyperlink w:anchor="_Dose_of_opioids" w:history="1">
        <w:r w:rsidRPr="00E16BC8">
          <w:rPr>
            <w:rStyle w:val="Hyperlink"/>
          </w:rPr>
          <w:t>dose of opioids</w:t>
        </w:r>
      </w:hyperlink>
      <w:r w:rsidRPr="007C3146">
        <w:t xml:space="preserve">, or the use of </w:t>
      </w:r>
      <w:hyperlink w:anchor="_Use_of_any" w:history="1">
        <w:r w:rsidRPr="00C772CF">
          <w:rPr>
            <w:rStyle w:val="Hyperlink"/>
          </w:rPr>
          <w:t xml:space="preserve">any concurrent </w:t>
        </w:r>
        <w:r w:rsidR="002C0CB3">
          <w:rPr>
            <w:rStyle w:val="Hyperlink"/>
          </w:rPr>
          <w:t>sedatives</w:t>
        </w:r>
      </w:hyperlink>
      <w:r w:rsidRPr="009F2754">
        <w:t>.</w:t>
      </w:r>
      <w:r>
        <w:t xml:space="preserve"> Any patient using &gt;90 MED per day is considered high risk.</w:t>
      </w:r>
    </w:p>
    <w:p w14:paraId="02AF2AB9" w14:textId="67FD57DF" w:rsidR="00BC65D5" w:rsidRDefault="003D17D5" w:rsidP="00BC65D5">
      <w:pPr>
        <w:pStyle w:val="BodyText"/>
      </w:pPr>
      <w:r>
        <w:t xml:space="preserve">Risk factors for </w:t>
      </w:r>
      <w:r w:rsidRPr="0033344D">
        <w:rPr>
          <w:rStyle w:val="Strong"/>
        </w:rPr>
        <w:t>overdose</w:t>
      </w:r>
      <w:r>
        <w:t xml:space="preserve"> include history of overdose, substance use disorder or abuse, sleep apnea, chronic lung disease, and </w:t>
      </w:r>
      <w:r w:rsidR="00BC65D5" w:rsidRPr="00A70BCA">
        <w:t xml:space="preserve">use of any concurrent </w:t>
      </w:r>
      <w:r w:rsidR="002C0CB3">
        <w:t>sedatives</w:t>
      </w:r>
      <w:r w:rsidR="00BC65D5">
        <w:t>.</w:t>
      </w:r>
    </w:p>
    <w:p w14:paraId="64E08567" w14:textId="344BCD4B" w:rsidR="00383720" w:rsidRDefault="00383720" w:rsidP="00383720">
      <w:pPr>
        <w:pStyle w:val="Heading3"/>
      </w:pPr>
      <w:r>
        <w:t>M</w:t>
      </w:r>
      <w:r w:rsidRPr="009F2754">
        <w:t>edical comorbidities</w:t>
      </w:r>
    </w:p>
    <w:p w14:paraId="612DE8A9" w14:textId="10033941" w:rsidR="00685C27" w:rsidRDefault="00685C27" w:rsidP="00685C27">
      <w:pPr>
        <w:pStyle w:val="Bullet"/>
      </w:pPr>
      <w:r>
        <w:t>Sleep apnea</w:t>
      </w:r>
      <w:r w:rsidR="00393742">
        <w:t>, which can be screened for with</w:t>
      </w:r>
      <w:r>
        <w:t xml:space="preserve"> </w:t>
      </w:r>
      <w:hyperlink r:id="rId85" w:history="1">
        <w:r w:rsidRPr="00C772CF">
          <w:rPr>
            <w:rStyle w:val="Hyperlink"/>
            <w:b/>
          </w:rPr>
          <w:t>STOPBang</w:t>
        </w:r>
      </w:hyperlink>
      <w:r>
        <w:t xml:space="preserve"> – an 8-item screener for sleep apnea.</w:t>
      </w:r>
    </w:p>
    <w:p w14:paraId="77DB44CA" w14:textId="77777777" w:rsidR="00685C27" w:rsidRDefault="00685C27" w:rsidP="00685C27">
      <w:pPr>
        <w:pStyle w:val="Bullet"/>
      </w:pPr>
      <w:r>
        <w:t>Chronic obstructive pulmonary disease (COPD)</w:t>
      </w:r>
    </w:p>
    <w:p w14:paraId="6F1C9218" w14:textId="77777777" w:rsidR="00685C27" w:rsidRDefault="00685C27" w:rsidP="00685C27">
      <w:pPr>
        <w:pStyle w:val="Bullet"/>
      </w:pPr>
      <w:r>
        <w:t>Fall risk</w:t>
      </w:r>
    </w:p>
    <w:p w14:paraId="4713067D" w14:textId="77777777" w:rsidR="00685C27" w:rsidRDefault="00685C27" w:rsidP="00685C27">
      <w:pPr>
        <w:pStyle w:val="Bullet"/>
      </w:pPr>
      <w:r>
        <w:t>Cognitive status</w:t>
      </w:r>
    </w:p>
    <w:p w14:paraId="506600B1" w14:textId="77777777" w:rsidR="00685C27" w:rsidRDefault="00685C27" w:rsidP="00685C27">
      <w:pPr>
        <w:pStyle w:val="Bullet"/>
      </w:pPr>
      <w:r>
        <w:t>Pregnancy</w:t>
      </w:r>
    </w:p>
    <w:p w14:paraId="313329F6" w14:textId="176A20A6" w:rsidR="00685C27" w:rsidRDefault="00685C27" w:rsidP="00685C27">
      <w:pPr>
        <w:pStyle w:val="Bullet"/>
      </w:pPr>
      <w:r>
        <w:t>Age 65+</w:t>
      </w:r>
    </w:p>
    <w:p w14:paraId="3DF57B86" w14:textId="30E51CFF" w:rsidR="00393742" w:rsidRDefault="00393742" w:rsidP="00393742">
      <w:pPr>
        <w:pStyle w:val="Heading3"/>
      </w:pPr>
      <w:r>
        <w:t>B</w:t>
      </w:r>
      <w:r w:rsidR="00685C27">
        <w:t xml:space="preserve">ehavioral comorbidities </w:t>
      </w:r>
    </w:p>
    <w:p w14:paraId="5FB7FBC8" w14:textId="7E54AD0D" w:rsidR="00393742" w:rsidRDefault="00393742" w:rsidP="00393742">
      <w:pPr>
        <w:pStyle w:val="Bullet"/>
      </w:pPr>
      <w:r>
        <w:t>S</w:t>
      </w:r>
      <w:r w:rsidR="00685C27">
        <w:t xml:space="preserve">ubstance use </w:t>
      </w:r>
      <w:r>
        <w:t xml:space="preserve">misuse, </w:t>
      </w:r>
      <w:r w:rsidR="00685C27">
        <w:t>disorder</w:t>
      </w:r>
      <w:r>
        <w:t>, or abuse</w:t>
      </w:r>
      <w:r w:rsidR="00685C27">
        <w:t xml:space="preserve"> </w:t>
      </w:r>
      <w:r>
        <w:t xml:space="preserve">(see tools </w:t>
      </w:r>
      <w:hyperlink w:anchor="_Substance_use_disorder_1" w:history="1">
        <w:r w:rsidRPr="00393742">
          <w:rPr>
            <w:rStyle w:val="Hyperlink"/>
          </w:rPr>
          <w:t>below</w:t>
        </w:r>
      </w:hyperlink>
      <w:r>
        <w:t>)</w:t>
      </w:r>
    </w:p>
    <w:p w14:paraId="488B7814" w14:textId="4003022E" w:rsidR="00393742" w:rsidRDefault="00393742" w:rsidP="00393742">
      <w:pPr>
        <w:pStyle w:val="Bullet"/>
      </w:pPr>
      <w:r>
        <w:t xml:space="preserve">Moderately severe or severe depression, which can be screened for initially with PHQ-4, then </w:t>
      </w:r>
      <w:hyperlink r:id="rId86" w:history="1">
        <w:r w:rsidRPr="00393742">
          <w:rPr>
            <w:rStyle w:val="Hyperlink"/>
          </w:rPr>
          <w:t>PHQ-9</w:t>
        </w:r>
      </w:hyperlink>
      <w:r>
        <w:t>.</w:t>
      </w:r>
    </w:p>
    <w:p w14:paraId="0177CFB6" w14:textId="2D9E8901" w:rsidR="00393742" w:rsidRDefault="00393742" w:rsidP="00393742">
      <w:pPr>
        <w:pStyle w:val="Bullet"/>
      </w:pPr>
      <w:r>
        <w:t xml:space="preserve">Moderately severe or severe anxiety, which can be screened for initially with PHQ-4, then </w:t>
      </w:r>
      <w:hyperlink r:id="rId87" w:history="1">
        <w:r w:rsidRPr="00393742">
          <w:rPr>
            <w:rStyle w:val="Hyperlink"/>
          </w:rPr>
          <w:t>GAD-7</w:t>
        </w:r>
      </w:hyperlink>
      <w:r>
        <w:t>.</w:t>
      </w:r>
    </w:p>
    <w:p w14:paraId="4AA7BDE5" w14:textId="4AC0CFFC" w:rsidR="00393742" w:rsidRDefault="00393742" w:rsidP="00393742">
      <w:pPr>
        <w:pStyle w:val="Bullet"/>
      </w:pPr>
      <w:r>
        <w:t>Post-traumatic stress disorder</w:t>
      </w:r>
      <w:r w:rsidR="00951A45">
        <w:t xml:space="preserve"> (PTSD), which can be screened for</w:t>
      </w:r>
      <w:r>
        <w:t xml:space="preserve"> with the 4-item </w:t>
      </w:r>
      <w:hyperlink r:id="rId88" w:history="1">
        <w:r w:rsidRPr="009439D5">
          <w:rPr>
            <w:rStyle w:val="Hyperlink"/>
            <w:b/>
          </w:rPr>
          <w:t>PC-PTSD</w:t>
        </w:r>
      </w:hyperlink>
      <w:r>
        <w:t>: Primary Care PTSD Screen.</w:t>
      </w:r>
    </w:p>
    <w:p w14:paraId="0F5DCB02" w14:textId="348C0645" w:rsidR="00393742" w:rsidRDefault="00393742" w:rsidP="00CB2749">
      <w:pPr>
        <w:pStyle w:val="Bullet"/>
      </w:pPr>
      <w:r>
        <w:t>S</w:t>
      </w:r>
      <w:r w:rsidR="00685C27">
        <w:t>uicid</w:t>
      </w:r>
      <w:r>
        <w:t>e ideation</w:t>
      </w:r>
    </w:p>
    <w:p w14:paraId="12DD940B" w14:textId="15971E20" w:rsidR="00685C27" w:rsidRDefault="00393742" w:rsidP="00CB2749">
      <w:pPr>
        <w:pStyle w:val="Bullet"/>
      </w:pPr>
      <w:r>
        <w:t>H</w:t>
      </w:r>
      <w:r w:rsidR="00685C27">
        <w:t>istory of prior overdoses</w:t>
      </w:r>
    </w:p>
    <w:p w14:paraId="2CB6EFAE" w14:textId="4F832F74" w:rsidR="00383720" w:rsidRDefault="00383720" w:rsidP="00383720">
      <w:pPr>
        <w:pStyle w:val="Heading3"/>
      </w:pPr>
      <w:bookmarkStart w:id="34" w:name="_Substance_use_disorder_1"/>
      <w:bookmarkStart w:id="35" w:name="_Substance_use_misuse,"/>
      <w:bookmarkEnd w:id="34"/>
      <w:bookmarkEnd w:id="35"/>
      <w:r>
        <w:t>Substance</w:t>
      </w:r>
      <w:r w:rsidR="00717772">
        <w:t>/opioid</w:t>
      </w:r>
      <w:r>
        <w:t xml:space="preserve"> </w:t>
      </w:r>
      <w:r w:rsidR="007F1D32">
        <w:t>misuse,</w:t>
      </w:r>
      <w:r>
        <w:t xml:space="preserve"> abuse</w:t>
      </w:r>
      <w:r w:rsidR="007F1D32">
        <w:t>, or disorder</w:t>
      </w:r>
    </w:p>
    <w:p w14:paraId="2298B0D2" w14:textId="01B2B5EF" w:rsidR="00393742" w:rsidRPr="00393742" w:rsidRDefault="00393742" w:rsidP="00393742">
      <w:pPr>
        <w:pStyle w:val="BodyText"/>
      </w:pPr>
      <w:r>
        <w:t>Each of the following tools has pros and cons. Select the tool</w:t>
      </w:r>
      <w:r w:rsidR="005A476B">
        <w:t>/s</w:t>
      </w:r>
      <w:r>
        <w:t xml:space="preserve"> that works best for you as a clinician.</w:t>
      </w:r>
    </w:p>
    <w:p w14:paraId="0115B9D6" w14:textId="67DC9D9A" w:rsidR="00383720" w:rsidRDefault="00ED04EF" w:rsidP="00383720">
      <w:pPr>
        <w:pStyle w:val="Bullet"/>
      </w:pPr>
      <w:hyperlink r:id="rId89" w:history="1">
        <w:r w:rsidR="00383720" w:rsidRPr="00BC4B6A">
          <w:rPr>
            <w:rStyle w:val="Hyperlink"/>
            <w:b/>
          </w:rPr>
          <w:t>ORT</w:t>
        </w:r>
      </w:hyperlink>
      <w:r w:rsidR="00383720">
        <w:t xml:space="preserve">: Opioid Risk Tool – a 10-item screening tool for predicting opioid </w:t>
      </w:r>
      <w:r w:rsidR="005A476B">
        <w:t>misuse</w:t>
      </w:r>
      <w:r w:rsidR="00AC2BD5">
        <w:t xml:space="preserve"> </w:t>
      </w:r>
      <w:r w:rsidR="00383720">
        <w:t xml:space="preserve">in patients using opioid therapy. </w:t>
      </w:r>
    </w:p>
    <w:p w14:paraId="3986EF21" w14:textId="0391ED7D" w:rsidR="00383720" w:rsidRDefault="00ED04EF" w:rsidP="00383720">
      <w:pPr>
        <w:pStyle w:val="Bullet"/>
      </w:pPr>
      <w:hyperlink r:id="rId90" w:history="1">
        <w:r w:rsidR="005A476B">
          <w:rPr>
            <w:rStyle w:val="Hyperlink"/>
            <w:b/>
          </w:rPr>
          <w:t>SOAPP-r</w:t>
        </w:r>
      </w:hyperlink>
      <w:r w:rsidR="00383720">
        <w:t xml:space="preserve">: Screener and Opioid Assessment for Patients with Pain – a 14-item screening tool for predicting risk for developing problems among patients using long-term opioid therapy. </w:t>
      </w:r>
    </w:p>
    <w:p w14:paraId="08909B29" w14:textId="0A97CC2F" w:rsidR="00383720" w:rsidRDefault="00ED04EF" w:rsidP="00383720">
      <w:pPr>
        <w:pStyle w:val="Bullet"/>
      </w:pPr>
      <w:hyperlink r:id="rId91" w:history="1">
        <w:r w:rsidR="00383720" w:rsidRPr="00BC4B6A">
          <w:rPr>
            <w:rStyle w:val="Hyperlink"/>
            <w:b/>
          </w:rPr>
          <w:t>COMM</w:t>
        </w:r>
      </w:hyperlink>
      <w:r w:rsidR="00383720">
        <w:t>: Current Opioid Misuse Measure – a 17-item screening tool to help clinicians identify if a patient is exhibiting aberrant behaviors associated with misuse of opioid medications.</w:t>
      </w:r>
      <w:r w:rsidR="00220B86">
        <w:t xml:space="preserve"> </w:t>
      </w:r>
    </w:p>
    <w:p w14:paraId="2E9D2E7D" w14:textId="638AECB9" w:rsidR="00383720" w:rsidRDefault="00ED04EF" w:rsidP="00383720">
      <w:pPr>
        <w:pStyle w:val="Bullet"/>
      </w:pPr>
      <w:hyperlink r:id="rId92" w:history="1">
        <w:r w:rsidR="00383720" w:rsidRPr="00BC4B6A">
          <w:rPr>
            <w:rStyle w:val="Hyperlink"/>
            <w:b/>
          </w:rPr>
          <w:t>DAST-10</w:t>
        </w:r>
      </w:hyperlink>
      <w:r w:rsidR="00383720">
        <w:t xml:space="preserve">: The Drug Abuse Screening Test – a 10-item brief screening tool commonly used to assess for </w:t>
      </w:r>
      <w:r w:rsidR="005A476B">
        <w:t>substance</w:t>
      </w:r>
      <w:r w:rsidR="00383720">
        <w:t xml:space="preserve"> use, not including alcohol or tobacco in the past 12 months.</w:t>
      </w:r>
    </w:p>
    <w:p w14:paraId="1C4BE514" w14:textId="3A7B3B6E" w:rsidR="00383720" w:rsidRDefault="00ED04EF" w:rsidP="00383720">
      <w:pPr>
        <w:pStyle w:val="Bullet"/>
      </w:pPr>
      <w:hyperlink r:id="rId93" w:history="1">
        <w:r w:rsidR="00383720" w:rsidRPr="00BC4B6A">
          <w:rPr>
            <w:rStyle w:val="Hyperlink"/>
            <w:b/>
          </w:rPr>
          <w:t>TAPS</w:t>
        </w:r>
      </w:hyperlink>
      <w:r w:rsidR="00383720" w:rsidRPr="00BC4B6A">
        <w:t>:</w:t>
      </w:r>
      <w:r w:rsidR="00383720">
        <w:t xml:space="preserve"> The Tobacco, Alcohol, Prescription medications, and other Substance Tool – a 4-item screening tool to assess tobacco, alcohol, illicit drugs, and non-medical use of prescription medications.</w:t>
      </w:r>
    </w:p>
    <w:p w14:paraId="24A3B9F0" w14:textId="50AF749E" w:rsidR="005A476B" w:rsidRDefault="00ED04EF" w:rsidP="00383720">
      <w:pPr>
        <w:pStyle w:val="Bullet"/>
      </w:pPr>
      <w:hyperlink r:id="rId94" w:history="1">
        <w:r w:rsidR="005A476B" w:rsidRPr="005A476B">
          <w:rPr>
            <w:rStyle w:val="Hyperlink"/>
          </w:rPr>
          <w:t>DSM-5</w:t>
        </w:r>
      </w:hyperlink>
      <w:r w:rsidR="005A476B">
        <w:t xml:space="preserve">: DSM-5 </w:t>
      </w:r>
      <w:r w:rsidR="000C52F0">
        <w:t xml:space="preserve">may be used </w:t>
      </w:r>
      <w:r w:rsidR="005A476B">
        <w:t xml:space="preserve">to diagnose </w:t>
      </w:r>
      <w:r w:rsidR="000C52F0">
        <w:t>o</w:t>
      </w:r>
      <w:r w:rsidR="005A476B">
        <w:t xml:space="preserve">pioid </w:t>
      </w:r>
      <w:r w:rsidR="000C52F0">
        <w:t>u</w:t>
      </w:r>
      <w:r w:rsidR="005A476B">
        <w:t xml:space="preserve">se </w:t>
      </w:r>
      <w:r w:rsidR="000C52F0">
        <w:t>d</w:t>
      </w:r>
      <w:r w:rsidR="005A476B">
        <w:t>isorder, but be thoughtful in its use with patients on long-term opioid therapy.</w:t>
      </w:r>
      <w:r w:rsidR="002C0CB3">
        <w:t xml:space="preserve"> See the </w:t>
      </w:r>
      <w:hyperlink r:id="rId95" w:history="1">
        <w:r w:rsidR="002C0CB3" w:rsidRPr="002C0CB3">
          <w:rPr>
            <w:rStyle w:val="Hyperlink"/>
          </w:rPr>
          <w:t>CDC</w:t>
        </w:r>
      </w:hyperlink>
      <w:r w:rsidR="002C0CB3">
        <w:t xml:space="preserve"> for more details.</w:t>
      </w:r>
    </w:p>
    <w:bookmarkStart w:id="36" w:name="_Aberrant_Behaviors"/>
    <w:bookmarkEnd w:id="36"/>
    <w:p w14:paraId="269FFBB8" w14:textId="77777777" w:rsidR="00383720" w:rsidRDefault="00383720" w:rsidP="00383720">
      <w:pPr>
        <w:pStyle w:val="Heading3"/>
      </w:pPr>
      <w:r>
        <w:fldChar w:fldCharType="begin"/>
      </w:r>
      <w:r>
        <w:instrText xml:space="preserve"> HYPERLINK "https://www.drugabuse.gov/sites/default/files/files/AberrantDrugTakingBehaviors.pdf" </w:instrText>
      </w:r>
      <w:r>
        <w:fldChar w:fldCharType="separate"/>
      </w:r>
      <w:r w:rsidRPr="00B7462D">
        <w:rPr>
          <w:rStyle w:val="Hyperlink"/>
        </w:rPr>
        <w:t>Aberrant behaviors</w:t>
      </w:r>
      <w:r>
        <w:fldChar w:fldCharType="end"/>
      </w:r>
      <w:r>
        <w:t xml:space="preserve"> </w:t>
      </w:r>
    </w:p>
    <w:p w14:paraId="6288984F" w14:textId="77777777" w:rsidR="00383720" w:rsidRDefault="00383720" w:rsidP="00383720">
      <w:pPr>
        <w:pStyle w:val="Bullet"/>
      </w:pPr>
      <w:r>
        <w:t>Resistance to changing opioid medications despite deterioration in function or significant negative effects</w:t>
      </w:r>
    </w:p>
    <w:p w14:paraId="3E375F32" w14:textId="77777777" w:rsidR="00383720" w:rsidRDefault="00383720" w:rsidP="00383720">
      <w:pPr>
        <w:pStyle w:val="Bullet"/>
      </w:pPr>
      <w:r>
        <w:t xml:space="preserve">Use of illegal drugs or controlled substances that are not prescribed for the patient (self-report or </w:t>
      </w:r>
      <w:hyperlink r:id="rId96" w:history="1">
        <w:r w:rsidRPr="00B7462D">
          <w:rPr>
            <w:rStyle w:val="Hyperlink"/>
            <w:b/>
          </w:rPr>
          <w:t>urine drug test</w:t>
        </w:r>
      </w:hyperlink>
      <w:r>
        <w:t>)</w:t>
      </w:r>
    </w:p>
    <w:p w14:paraId="6D4BE4E4" w14:textId="69793E99" w:rsidR="00383720" w:rsidRDefault="005A476B" w:rsidP="00383720">
      <w:pPr>
        <w:pStyle w:val="Bullet"/>
      </w:pPr>
      <w:r>
        <w:t>Behaviors suggesting loss of control over substance use or diversion, such as r</w:t>
      </w:r>
      <w:r w:rsidR="00383720">
        <w:t>ecurrent episodes of</w:t>
      </w:r>
      <w:r w:rsidR="00DA52C7">
        <w:t>:</w:t>
      </w:r>
    </w:p>
    <w:p w14:paraId="1398F5F8" w14:textId="77777777" w:rsidR="00383720" w:rsidRDefault="00383720" w:rsidP="00383720">
      <w:pPr>
        <w:pStyle w:val="Subbullet"/>
      </w:pPr>
      <w:r>
        <w:t>Prescription loss or theft</w:t>
      </w:r>
    </w:p>
    <w:p w14:paraId="6E20D760" w14:textId="12590509" w:rsidR="00383720" w:rsidRDefault="00383720" w:rsidP="00383720">
      <w:pPr>
        <w:pStyle w:val="Subbullet"/>
      </w:pPr>
      <w:r>
        <w:t xml:space="preserve">Obtaining opioids from other providers in violation of treatment agreement (identified through review of </w:t>
      </w:r>
      <w:hyperlink r:id="rId97" w:history="1">
        <w:r w:rsidR="005A476B">
          <w:rPr>
            <w:rStyle w:val="Hyperlink"/>
            <w:b/>
          </w:rPr>
          <w:t>State Prescription Drug Monitoring Database Programs</w:t>
        </w:r>
      </w:hyperlink>
      <w:r>
        <w:t>)</w:t>
      </w:r>
    </w:p>
    <w:p w14:paraId="7CF3651F" w14:textId="4D7BE27F" w:rsidR="00383720" w:rsidRDefault="00383720" w:rsidP="00383720">
      <w:pPr>
        <w:pStyle w:val="Subbullet"/>
      </w:pPr>
      <w:r>
        <w:t>Increases in dosing without provider’s instruction (self-report)</w:t>
      </w:r>
    </w:p>
    <w:p w14:paraId="207B6228" w14:textId="77777777" w:rsidR="00383720" w:rsidRDefault="00383720" w:rsidP="00383720">
      <w:pPr>
        <w:pStyle w:val="Subbullet"/>
      </w:pPr>
      <w:r>
        <w:t>Running short with medication supply and requests for early refills</w:t>
      </w:r>
    </w:p>
    <w:p w14:paraId="387150CE" w14:textId="27B91E99" w:rsidR="00383720" w:rsidRDefault="00383720" w:rsidP="00383720">
      <w:pPr>
        <w:pStyle w:val="Heading3"/>
      </w:pPr>
      <w:bookmarkStart w:id="37" w:name="_Dose_of_opioids"/>
      <w:bookmarkStart w:id="38" w:name="_Medications_taken/dose"/>
      <w:bookmarkEnd w:id="37"/>
      <w:bookmarkEnd w:id="38"/>
      <w:r>
        <w:t>Medications taken</w:t>
      </w:r>
      <w:r w:rsidR="00BC65D5">
        <w:t>/dose</w:t>
      </w:r>
    </w:p>
    <w:p w14:paraId="6E35B21E" w14:textId="5A9808E8" w:rsidR="00383720" w:rsidRPr="00E16BC8" w:rsidRDefault="00ED04EF" w:rsidP="00383720">
      <w:pPr>
        <w:pStyle w:val="Bullet"/>
      </w:pPr>
      <w:hyperlink r:id="rId98" w:history="1">
        <w:r w:rsidR="00383720" w:rsidRPr="00E16BC8">
          <w:rPr>
            <w:rStyle w:val="Hyperlink"/>
            <w:b/>
          </w:rPr>
          <w:t>Morphine Equivalent Dose (MED) calculator</w:t>
        </w:r>
      </w:hyperlink>
    </w:p>
    <w:p w14:paraId="1CFF2D73" w14:textId="479910C7" w:rsidR="00383720" w:rsidRPr="00E16BC8" w:rsidRDefault="00ED04EF" w:rsidP="00383720">
      <w:pPr>
        <w:pStyle w:val="Bullet"/>
      </w:pPr>
      <w:hyperlink r:id="rId99" w:history="1">
        <w:r w:rsidR="00383720" w:rsidRPr="00E16BC8">
          <w:rPr>
            <w:rStyle w:val="Hyperlink"/>
            <w:b/>
          </w:rPr>
          <w:t>State Prescription</w:t>
        </w:r>
        <w:r w:rsidR="00351FC8">
          <w:rPr>
            <w:rStyle w:val="Hyperlink"/>
            <w:b/>
          </w:rPr>
          <w:t xml:space="preserve"> Drug</w:t>
        </w:r>
        <w:r w:rsidR="00383720" w:rsidRPr="00E16BC8">
          <w:rPr>
            <w:rStyle w:val="Hyperlink"/>
            <w:b/>
          </w:rPr>
          <w:t xml:space="preserve"> Monitoring Database Programs</w:t>
        </w:r>
      </w:hyperlink>
    </w:p>
    <w:p w14:paraId="047F54B2" w14:textId="7240F3F7" w:rsidR="00383720" w:rsidRDefault="00383720" w:rsidP="00383720">
      <w:pPr>
        <w:pStyle w:val="Heading3"/>
      </w:pPr>
      <w:bookmarkStart w:id="39" w:name="_Use_of_any"/>
      <w:bookmarkEnd w:id="39"/>
      <w:r>
        <w:t>U</w:t>
      </w:r>
      <w:r w:rsidRPr="007C3146">
        <w:t xml:space="preserve">se of any concurrent </w:t>
      </w:r>
      <w:r w:rsidR="002C0CB3">
        <w:t>sedatives</w:t>
      </w:r>
    </w:p>
    <w:p w14:paraId="12D8C807" w14:textId="52C98CAC" w:rsidR="00383720" w:rsidRDefault="00ED04EF" w:rsidP="005C2A91">
      <w:pPr>
        <w:pStyle w:val="Bullet"/>
      </w:pPr>
      <w:hyperlink r:id="rId100" w:history="1">
        <w:r w:rsidR="00383720" w:rsidRPr="00E16BC8">
          <w:rPr>
            <w:rStyle w:val="Hyperlink"/>
            <w:b/>
          </w:rPr>
          <w:t>Sedatives list</w:t>
        </w:r>
      </w:hyperlink>
      <w:r w:rsidR="00383720">
        <w:t xml:space="preserve">: </w:t>
      </w:r>
      <w:r w:rsidR="00383720" w:rsidRPr="00E16BC8">
        <w:t>A list of sedatives to use in identifying patients on concurrent sedatives and opioids.</w:t>
      </w:r>
    </w:p>
    <w:sectPr w:rsidR="00383720" w:rsidSect="00EC7164">
      <w:headerReference w:type="default" r:id="rId101"/>
      <w:footerReference w:type="default" r:id="rId102"/>
      <w:type w:val="continuous"/>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3A5FCE" w16cid:durableId="2086F7D4"/>
  <w16cid:commentId w16cid:paraId="164353D9" w16cid:durableId="2084389C"/>
  <w16cid:commentId w16cid:paraId="0965D09C" w16cid:durableId="20843E38"/>
  <w16cid:commentId w16cid:paraId="19F11EEB" w16cid:durableId="20843989"/>
  <w16cid:commentId w16cid:paraId="7C46D7D7" w16cid:durableId="2086F9F2"/>
  <w16cid:commentId w16cid:paraId="630D734D" w16cid:durableId="20844067"/>
  <w16cid:commentId w16cid:paraId="04AE150F" w16cid:durableId="2086FA2C"/>
  <w16cid:commentId w16cid:paraId="2903F854" w16cid:durableId="20843B2F"/>
  <w16cid:commentId w16cid:paraId="42B07492" w16cid:durableId="2086FA54"/>
  <w16cid:commentId w16cid:paraId="14E3E8D4" w16cid:durableId="20844305"/>
  <w16cid:commentId w16cid:paraId="7DA35C20" w16cid:durableId="2086FAF2"/>
  <w16cid:commentId w16cid:paraId="5BE0014A" w16cid:durableId="20844310"/>
  <w16cid:commentId w16cid:paraId="7A476764" w16cid:durableId="20857444"/>
  <w16cid:commentId w16cid:paraId="5550A6B7" w16cid:durableId="20857445"/>
  <w16cid:commentId w16cid:paraId="362ABCDE" w16cid:durableId="208574E6"/>
  <w16cid:commentId w16cid:paraId="15C4829C" w16cid:durableId="2086FB6F"/>
  <w16cid:commentId w16cid:paraId="7E0BAA0F" w16cid:durableId="20843C08"/>
  <w16cid:commentId w16cid:paraId="1302F7C1" w16cid:durableId="20843DC8"/>
  <w16cid:commentId w16cid:paraId="684B66D5" w16cid:durableId="2086FC51"/>
  <w16cid:commentId w16cid:paraId="3FDC0503" w16cid:durableId="20843DFB"/>
  <w16cid:commentId w16cid:paraId="4B22E84A" w16cid:durableId="2086FC71"/>
  <w16cid:commentId w16cid:paraId="0D66AD43" w16cid:durableId="20843E01"/>
  <w16cid:commentId w16cid:paraId="602EF59D" w16cid:durableId="2086FCA6"/>
  <w16cid:commentId w16cid:paraId="22FEC1B4" w16cid:durableId="20843EB6"/>
  <w16cid:commentId w16cid:paraId="19CE0A29" w16cid:durableId="2086FD3B"/>
  <w16cid:commentId w16cid:paraId="30CC264D" w16cid:durableId="20844591"/>
  <w16cid:commentId w16cid:paraId="7CEE219F" w16cid:durableId="2086F7E5"/>
  <w16cid:commentId w16cid:paraId="51D914BF" w16cid:durableId="2086FDB7"/>
  <w16cid:commentId w16cid:paraId="6A798717" w16cid:durableId="2084332C"/>
  <w16cid:commentId w16cid:paraId="2C8C32CA" w16cid:durableId="20844328"/>
  <w16cid:commentId w16cid:paraId="626ED72A" w16cid:durableId="2086FDCC"/>
  <w16cid:commentId w16cid:paraId="5458F6EE" w16cid:durableId="208445AB"/>
  <w16cid:commentId w16cid:paraId="205E5E30" w16cid:durableId="2086FE1F"/>
  <w16cid:commentId w16cid:paraId="0F7D4908" w16cid:durableId="208442E2"/>
  <w16cid:commentId w16cid:paraId="41C49E0D" w16cid:durableId="2086FE68"/>
  <w16cid:commentId w16cid:paraId="29A1ABCD" w16cid:durableId="208442F2"/>
  <w16cid:commentId w16cid:paraId="1B91BC7D" w16cid:durableId="2086FE8C"/>
  <w16cid:commentId w16cid:paraId="2BCEE03D" w16cid:durableId="2084433B"/>
  <w16cid:commentId w16cid:paraId="353466B4" w16cid:durableId="2085745A"/>
  <w16cid:commentId w16cid:paraId="7F6EC96E" w16cid:durableId="2085766A"/>
  <w16cid:commentId w16cid:paraId="3280511D" w16cid:durableId="2086FE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CA36B" w14:textId="77777777" w:rsidR="00951A45" w:rsidRDefault="00951A45" w:rsidP="008C73A4">
      <w:pPr>
        <w:spacing w:after="0" w:line="240" w:lineRule="auto"/>
      </w:pPr>
      <w:r>
        <w:separator/>
      </w:r>
    </w:p>
  </w:endnote>
  <w:endnote w:type="continuationSeparator" w:id="0">
    <w:p w14:paraId="17F2512C" w14:textId="77777777" w:rsidR="00951A45" w:rsidRDefault="00951A45" w:rsidP="008C73A4">
      <w:pPr>
        <w:spacing w:after="0" w:line="240" w:lineRule="auto"/>
      </w:pPr>
      <w:r>
        <w:continuationSeparator/>
      </w:r>
    </w:p>
  </w:endnote>
  <w:endnote w:type="continuationNotice" w:id="1">
    <w:p w14:paraId="730059A1" w14:textId="77777777" w:rsidR="00951A45" w:rsidRDefault="00951A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Headings CS)">
    <w:altName w:val="Times New Roman"/>
    <w:charset w:val="00"/>
    <w:family w:val="roman"/>
    <w:pitch w:val="variable"/>
    <w:sig w:usb0="E0002AFF" w:usb1="C0007841" w:usb2="00000009" w:usb3="00000000" w:csb0="000001FF" w:csb1="00000000"/>
  </w:font>
  <w:font w:name="HYPost-Light">
    <w:altName w:val="Batang"/>
    <w:charset w:val="81"/>
    <w:family w:val="roman"/>
    <w:pitch w:val="default"/>
    <w:sig w:usb0="E0002AFF" w:usb1="C0007843" w:usb2="00000009" w:usb3="00000000" w:csb0="000001FF" w:csb1="00000000"/>
  </w:font>
  <w:font w:name="TradeGothic CondEighteen">
    <w:altName w:val="TradeGothic CondEighteen"/>
    <w:panose1 w:val="00000000000000000000"/>
    <w:charset w:val="00"/>
    <w:family w:val="swiss"/>
    <w:notTrueType/>
    <w:pitch w:val="default"/>
    <w:sig w:usb0="00000003" w:usb1="00000000" w:usb2="00000000" w:usb3="00000000" w:csb0="00000001" w:csb1="00000000"/>
  </w:font>
  <w:font w:name="Times New Roman (Body CS)">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401485"/>
      <w:docPartObj>
        <w:docPartGallery w:val="Page Numbers (Bottom of Page)"/>
        <w:docPartUnique/>
      </w:docPartObj>
    </w:sdtPr>
    <w:sdtEndPr>
      <w:rPr>
        <w:noProof/>
      </w:rPr>
    </w:sdtEndPr>
    <w:sdtContent>
      <w:p w14:paraId="722ACF70" w14:textId="77777777" w:rsidR="00951A45" w:rsidRDefault="00951A45" w:rsidP="003250A0">
        <w:pPr>
          <w:pStyle w:val="Footer"/>
          <w:pBdr>
            <w:top w:val="dotted" w:sz="12" w:space="1" w:color="BFBFBF" w:themeColor="text1" w:themeTint="40"/>
          </w:pBdr>
          <w:ind w:left="1440"/>
          <w:jc w:val="right"/>
          <w:rPr>
            <w:rFonts w:cs="Times New Roman (Body CS)"/>
            <w:color w:val="000000" w:themeColor="text1"/>
            <w:sz w:val="16"/>
            <w:szCs w:val="16"/>
            <w14:numForm w14:val="lining"/>
          </w:rPr>
        </w:pPr>
        <w:r w:rsidRPr="0045554A">
          <w:rPr>
            <w:noProof/>
          </w:rPr>
          <w:drawing>
            <wp:anchor distT="0" distB="0" distL="114300" distR="114300" simplePos="0" relativeHeight="251658241" behindDoc="0" locked="0" layoutInCell="1" allowOverlap="1" wp14:anchorId="722ACF74" wp14:editId="722ACF75">
              <wp:simplePos x="0" y="0"/>
              <wp:positionH relativeFrom="margin">
                <wp:posOffset>5233035</wp:posOffset>
              </wp:positionH>
              <wp:positionV relativeFrom="page">
                <wp:posOffset>9176385</wp:posOffset>
              </wp:positionV>
              <wp:extent cx="710565" cy="250190"/>
              <wp:effectExtent l="0" t="0" r="0" b="0"/>
              <wp:wrapThrough wrapText="bothSides">
                <wp:wrapPolygon edited="0">
                  <wp:start x="0" y="0"/>
                  <wp:lineTo x="0" y="19736"/>
                  <wp:lineTo x="20847" y="19736"/>
                  <wp:lineTo x="20847" y="0"/>
                  <wp:lineTo x="0" y="0"/>
                </wp:wrapPolygon>
              </wp:wrapThrough>
              <wp:docPr id="7"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56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0" allowOverlap="1" wp14:anchorId="722ACF76" wp14:editId="722ACF77">
              <wp:simplePos x="0" y="0"/>
              <wp:positionH relativeFrom="margin">
                <wp:posOffset>-460292</wp:posOffset>
              </wp:positionH>
              <wp:positionV relativeFrom="bottomMargin">
                <wp:posOffset>31032</wp:posOffset>
              </wp:positionV>
              <wp:extent cx="1300870" cy="799106"/>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png"/>
                      <pic:cNvPicPr/>
                    </pic:nvPicPr>
                    <pic:blipFill rotWithShape="1">
                      <a:blip r:embed="rId3" cstate="print">
                        <a:extLst>
                          <a:ext uri="{28A0092B-C50C-407E-A947-70E740481C1C}">
                            <a14:useLocalDpi xmlns:a14="http://schemas.microsoft.com/office/drawing/2010/main" val="0"/>
                          </a:ext>
                        </a:extLst>
                      </a:blip>
                      <a:srcRect l="8230" t="58682" r="9411" b="2222"/>
                      <a:stretch/>
                    </pic:blipFill>
                    <pic:spPr bwMode="auto">
                      <a:xfrm>
                        <a:off x="0" y="0"/>
                        <a:ext cx="1300870" cy="7991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2ACF71" w14:textId="2BA2C8A0" w:rsidR="00951A45" w:rsidRPr="007E5239" w:rsidRDefault="00951A45" w:rsidP="003250A0">
        <w:pPr>
          <w:spacing w:after="0" w:line="240" w:lineRule="auto"/>
          <w:ind w:firstLine="907"/>
          <w:jc w:val="right"/>
          <w:rPr>
            <w:rFonts w:cs="Times New Roman (Body CS)"/>
            <w:color w:val="000000" w:themeColor="text1"/>
            <w:sz w:val="16"/>
            <w:szCs w:val="16"/>
            <w14:numForm w14:val="lining"/>
          </w:rPr>
        </w:pPr>
        <w:r>
          <w:rPr>
            <w:rFonts w:cs="Times New Roman (Body CS)"/>
            <w:color w:val="000000" w:themeColor="text1"/>
            <w:sz w:val="16"/>
            <w:szCs w:val="16"/>
            <w14:numForm w14:val="lining"/>
          </w:rPr>
          <w:t>SIX BUILDING BLOCKS: MODEL OPIOID POLICY  |  VERSION  2019.05.</w:t>
        </w:r>
        <w:r w:rsidR="00EF798E">
          <w:rPr>
            <w:rFonts w:cs="Times New Roman (Body CS)"/>
            <w:color w:val="000000" w:themeColor="text1"/>
            <w:sz w:val="16"/>
            <w:szCs w:val="16"/>
            <w14:numForm w14:val="lining"/>
          </w:rPr>
          <w:t>23</w:t>
        </w:r>
      </w:p>
      <w:p w14:paraId="722ACF72" w14:textId="77777777" w:rsidR="00951A45" w:rsidRDefault="00951A45" w:rsidP="003250A0">
        <w:pPr>
          <w:spacing w:after="0" w:line="240" w:lineRule="auto"/>
          <w:ind w:firstLine="907"/>
          <w:jc w:val="right"/>
          <w:rPr>
            <w:rFonts w:cs="Times New Roman (Body CS)"/>
            <w:color w:val="000000" w:themeColor="text1"/>
            <w:sz w:val="16"/>
            <w:szCs w:val="16"/>
            <w14:numForm w14:val="lining"/>
          </w:rPr>
        </w:pPr>
        <w:r>
          <w:rPr>
            <w:rFonts w:cs="Times New Roman (Body CS)"/>
            <w:color w:val="000000" w:themeColor="text1"/>
            <w:sz w:val="16"/>
            <w:szCs w:val="16"/>
            <w14:numForm w14:val="lining"/>
          </w:rPr>
          <w:t xml:space="preserve">LICENSED UNDER A </w:t>
        </w:r>
        <w:hyperlink r:id="rId4" w:history="1">
          <w:r w:rsidRPr="001F38F7">
            <w:rPr>
              <w:rStyle w:val="Hyperlink"/>
              <w:rFonts w:cs="Times New Roman (Body CS)"/>
              <w:sz w:val="16"/>
              <w:szCs w:val="16"/>
              <w14:numForm w14:val="lining"/>
            </w:rPr>
            <w:t>CREATIVE COMMONS BY-NC-ND 4.0 INTERNATIONAL LICENSE</w:t>
          </w:r>
        </w:hyperlink>
      </w:p>
      <w:p w14:paraId="722ACF73" w14:textId="095B75A2" w:rsidR="00951A45" w:rsidRPr="003250A0" w:rsidRDefault="00951A45" w:rsidP="003250A0">
        <w:pPr>
          <w:pStyle w:val="Footer"/>
          <w:jc w:val="right"/>
        </w:pPr>
        <w:r>
          <w:fldChar w:fldCharType="begin"/>
        </w:r>
        <w:r>
          <w:instrText xml:space="preserve"> PAGE   \* MERGEFORMAT </w:instrText>
        </w:r>
        <w:r>
          <w:fldChar w:fldCharType="separate"/>
        </w:r>
        <w:r w:rsidR="00ED04EF">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A392D" w14:textId="77777777" w:rsidR="00951A45" w:rsidRDefault="00951A45" w:rsidP="008C73A4">
      <w:pPr>
        <w:spacing w:after="0" w:line="240" w:lineRule="auto"/>
      </w:pPr>
      <w:r>
        <w:separator/>
      </w:r>
    </w:p>
  </w:footnote>
  <w:footnote w:type="continuationSeparator" w:id="0">
    <w:p w14:paraId="37677DC6" w14:textId="77777777" w:rsidR="00951A45" w:rsidRDefault="00951A45" w:rsidP="008C73A4">
      <w:pPr>
        <w:spacing w:after="0" w:line="240" w:lineRule="auto"/>
      </w:pPr>
      <w:r>
        <w:continuationSeparator/>
      </w:r>
    </w:p>
  </w:footnote>
  <w:footnote w:type="continuationNotice" w:id="1">
    <w:p w14:paraId="751B3F45" w14:textId="77777777" w:rsidR="00951A45" w:rsidRDefault="00951A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CF6E" w14:textId="5583DFE4" w:rsidR="00951A45" w:rsidRPr="00745C72" w:rsidRDefault="00951A45" w:rsidP="004011A7">
    <w:pPr>
      <w:pStyle w:val="Header"/>
      <w:jc w:val="center"/>
      <w:rPr>
        <w:i/>
      </w:rPr>
    </w:pPr>
    <w:r>
      <w:t>[</w:t>
    </w:r>
    <w:r>
      <w:rPr>
        <w:i/>
      </w:rPr>
      <w:t>Put your organization’s letterhead here]</w:t>
    </w:r>
  </w:p>
  <w:p w14:paraId="722ACF6F" w14:textId="03D05EB2" w:rsidR="00951A45" w:rsidRDefault="00951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994"/>
    <w:multiLevelType w:val="multilevel"/>
    <w:tmpl w:val="B67A0C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5F5793"/>
    <w:multiLevelType w:val="hybridMultilevel"/>
    <w:tmpl w:val="CC40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35ABF"/>
    <w:multiLevelType w:val="hybridMultilevel"/>
    <w:tmpl w:val="8034E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790D5A"/>
    <w:multiLevelType w:val="hybridMultilevel"/>
    <w:tmpl w:val="DD7EEBE6"/>
    <w:lvl w:ilvl="0" w:tplc="2CBC88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3D85"/>
    <w:multiLevelType w:val="hybridMultilevel"/>
    <w:tmpl w:val="A65CB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9311A5"/>
    <w:multiLevelType w:val="hybridMultilevel"/>
    <w:tmpl w:val="353A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C7CB9"/>
    <w:multiLevelType w:val="multilevel"/>
    <w:tmpl w:val="195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BE5306"/>
    <w:multiLevelType w:val="hybridMultilevel"/>
    <w:tmpl w:val="ABB26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7E2225"/>
    <w:multiLevelType w:val="hybridMultilevel"/>
    <w:tmpl w:val="4C943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0E12AF"/>
    <w:multiLevelType w:val="hybridMultilevel"/>
    <w:tmpl w:val="C10A1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6B15FF"/>
    <w:multiLevelType w:val="multilevel"/>
    <w:tmpl w:val="2E4EE9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67459F2"/>
    <w:multiLevelType w:val="hybridMultilevel"/>
    <w:tmpl w:val="27680644"/>
    <w:lvl w:ilvl="0" w:tplc="2CBC88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046D59"/>
    <w:multiLevelType w:val="hybridMultilevel"/>
    <w:tmpl w:val="7188D26C"/>
    <w:lvl w:ilvl="0" w:tplc="349A4FD6">
      <w:start w:val="1"/>
      <w:numFmt w:val="bullet"/>
      <w:lvlText w:val="•"/>
      <w:lvlJc w:val="left"/>
      <w:pPr>
        <w:tabs>
          <w:tab w:val="num" w:pos="720"/>
        </w:tabs>
        <w:ind w:left="720" w:hanging="360"/>
      </w:pPr>
      <w:rPr>
        <w:rFonts w:ascii="Arial" w:hAnsi="Arial" w:hint="default"/>
      </w:rPr>
    </w:lvl>
    <w:lvl w:ilvl="1" w:tplc="43B25056" w:tentative="1">
      <w:start w:val="1"/>
      <w:numFmt w:val="bullet"/>
      <w:lvlText w:val="•"/>
      <w:lvlJc w:val="left"/>
      <w:pPr>
        <w:tabs>
          <w:tab w:val="num" w:pos="1440"/>
        </w:tabs>
        <w:ind w:left="1440" w:hanging="360"/>
      </w:pPr>
      <w:rPr>
        <w:rFonts w:ascii="Arial" w:hAnsi="Arial" w:hint="default"/>
      </w:rPr>
    </w:lvl>
    <w:lvl w:ilvl="2" w:tplc="7BB69382" w:tentative="1">
      <w:start w:val="1"/>
      <w:numFmt w:val="bullet"/>
      <w:lvlText w:val="•"/>
      <w:lvlJc w:val="left"/>
      <w:pPr>
        <w:tabs>
          <w:tab w:val="num" w:pos="2160"/>
        </w:tabs>
        <w:ind w:left="2160" w:hanging="360"/>
      </w:pPr>
      <w:rPr>
        <w:rFonts w:ascii="Arial" w:hAnsi="Arial" w:hint="default"/>
      </w:rPr>
    </w:lvl>
    <w:lvl w:ilvl="3" w:tplc="4FCE0592" w:tentative="1">
      <w:start w:val="1"/>
      <w:numFmt w:val="bullet"/>
      <w:lvlText w:val="•"/>
      <w:lvlJc w:val="left"/>
      <w:pPr>
        <w:tabs>
          <w:tab w:val="num" w:pos="2880"/>
        </w:tabs>
        <w:ind w:left="2880" w:hanging="360"/>
      </w:pPr>
      <w:rPr>
        <w:rFonts w:ascii="Arial" w:hAnsi="Arial" w:hint="default"/>
      </w:rPr>
    </w:lvl>
    <w:lvl w:ilvl="4" w:tplc="FFD060F8" w:tentative="1">
      <w:start w:val="1"/>
      <w:numFmt w:val="bullet"/>
      <w:lvlText w:val="•"/>
      <w:lvlJc w:val="left"/>
      <w:pPr>
        <w:tabs>
          <w:tab w:val="num" w:pos="3600"/>
        </w:tabs>
        <w:ind w:left="3600" w:hanging="360"/>
      </w:pPr>
      <w:rPr>
        <w:rFonts w:ascii="Arial" w:hAnsi="Arial" w:hint="default"/>
      </w:rPr>
    </w:lvl>
    <w:lvl w:ilvl="5" w:tplc="84E6DCEA" w:tentative="1">
      <w:start w:val="1"/>
      <w:numFmt w:val="bullet"/>
      <w:lvlText w:val="•"/>
      <w:lvlJc w:val="left"/>
      <w:pPr>
        <w:tabs>
          <w:tab w:val="num" w:pos="4320"/>
        </w:tabs>
        <w:ind w:left="4320" w:hanging="360"/>
      </w:pPr>
      <w:rPr>
        <w:rFonts w:ascii="Arial" w:hAnsi="Arial" w:hint="default"/>
      </w:rPr>
    </w:lvl>
    <w:lvl w:ilvl="6" w:tplc="9CBE8FD4" w:tentative="1">
      <w:start w:val="1"/>
      <w:numFmt w:val="bullet"/>
      <w:lvlText w:val="•"/>
      <w:lvlJc w:val="left"/>
      <w:pPr>
        <w:tabs>
          <w:tab w:val="num" w:pos="5040"/>
        </w:tabs>
        <w:ind w:left="5040" w:hanging="360"/>
      </w:pPr>
      <w:rPr>
        <w:rFonts w:ascii="Arial" w:hAnsi="Arial" w:hint="default"/>
      </w:rPr>
    </w:lvl>
    <w:lvl w:ilvl="7" w:tplc="60CAB8FC" w:tentative="1">
      <w:start w:val="1"/>
      <w:numFmt w:val="bullet"/>
      <w:lvlText w:val="•"/>
      <w:lvlJc w:val="left"/>
      <w:pPr>
        <w:tabs>
          <w:tab w:val="num" w:pos="5760"/>
        </w:tabs>
        <w:ind w:left="5760" w:hanging="360"/>
      </w:pPr>
      <w:rPr>
        <w:rFonts w:ascii="Arial" w:hAnsi="Arial" w:hint="default"/>
      </w:rPr>
    </w:lvl>
    <w:lvl w:ilvl="8" w:tplc="094A9D6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EB2B9B"/>
    <w:multiLevelType w:val="hybridMultilevel"/>
    <w:tmpl w:val="21B4670C"/>
    <w:lvl w:ilvl="0" w:tplc="E8B03C58">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D116A"/>
    <w:multiLevelType w:val="hybridMultilevel"/>
    <w:tmpl w:val="7ABE2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E75CF4"/>
    <w:multiLevelType w:val="hybridMultilevel"/>
    <w:tmpl w:val="AB6A9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1943AD"/>
    <w:multiLevelType w:val="hybridMultilevel"/>
    <w:tmpl w:val="D43A708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95220C"/>
    <w:multiLevelType w:val="hybridMultilevel"/>
    <w:tmpl w:val="C9C0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17988"/>
    <w:multiLevelType w:val="hybridMultilevel"/>
    <w:tmpl w:val="5816D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DC46B9"/>
    <w:multiLevelType w:val="multilevel"/>
    <w:tmpl w:val="CAB04734"/>
    <w:lvl w:ilvl="0">
      <w:start w:val="1"/>
      <w:numFmt w:val="decimal"/>
      <w:pStyle w:val="Table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80D030F"/>
    <w:multiLevelType w:val="hybridMultilevel"/>
    <w:tmpl w:val="2A50C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32E71"/>
    <w:multiLevelType w:val="hybridMultilevel"/>
    <w:tmpl w:val="AB207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017F28"/>
    <w:multiLevelType w:val="multilevel"/>
    <w:tmpl w:val="D0643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1D71DE2"/>
    <w:multiLevelType w:val="hybridMultilevel"/>
    <w:tmpl w:val="1AF6A078"/>
    <w:lvl w:ilvl="0" w:tplc="65C22D84">
      <w:start w:val="1"/>
      <w:numFmt w:val="bullet"/>
      <w:pStyle w:val="Sub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0289A"/>
    <w:multiLevelType w:val="hybridMultilevel"/>
    <w:tmpl w:val="B4989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FE51F4"/>
    <w:multiLevelType w:val="hybridMultilevel"/>
    <w:tmpl w:val="0F5CB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73A66"/>
    <w:multiLevelType w:val="hybridMultilevel"/>
    <w:tmpl w:val="8400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0C538C"/>
    <w:multiLevelType w:val="multilevel"/>
    <w:tmpl w:val="B8C4D2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4B7C52"/>
    <w:multiLevelType w:val="hybridMultilevel"/>
    <w:tmpl w:val="338E2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135033"/>
    <w:multiLevelType w:val="hybridMultilevel"/>
    <w:tmpl w:val="DB9A5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075FCE"/>
    <w:multiLevelType w:val="multilevel"/>
    <w:tmpl w:val="491E53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7AD5B1B"/>
    <w:multiLevelType w:val="multilevel"/>
    <w:tmpl w:val="AE522A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82004D3"/>
    <w:multiLevelType w:val="multilevel"/>
    <w:tmpl w:val="7BDE54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D633C4"/>
    <w:multiLevelType w:val="hybridMultilevel"/>
    <w:tmpl w:val="8444A0A8"/>
    <w:lvl w:ilvl="0" w:tplc="BDEA532C">
      <w:start w:val="1"/>
      <w:numFmt w:val="bullet"/>
      <w:pStyle w:val="Checklis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83F2E"/>
    <w:multiLevelType w:val="multilevel"/>
    <w:tmpl w:val="10DC11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C9F0804"/>
    <w:multiLevelType w:val="multilevel"/>
    <w:tmpl w:val="8488E7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F452252"/>
    <w:multiLevelType w:val="hybridMultilevel"/>
    <w:tmpl w:val="96D6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481601"/>
    <w:multiLevelType w:val="multilevel"/>
    <w:tmpl w:val="9606DF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33D607A"/>
    <w:multiLevelType w:val="hybridMultilevel"/>
    <w:tmpl w:val="012C4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0A185C"/>
    <w:multiLevelType w:val="hybridMultilevel"/>
    <w:tmpl w:val="627A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285300"/>
    <w:multiLevelType w:val="multilevel"/>
    <w:tmpl w:val="C78CE7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74C1FF8"/>
    <w:multiLevelType w:val="multilevel"/>
    <w:tmpl w:val="31584E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D3A2215"/>
    <w:multiLevelType w:val="hybridMultilevel"/>
    <w:tmpl w:val="649897B6"/>
    <w:lvl w:ilvl="0" w:tplc="773CBBD2">
      <w:start w:val="1"/>
      <w:numFmt w:val="decimal"/>
      <w:pStyle w:val="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5F0BF0"/>
    <w:multiLevelType w:val="hybridMultilevel"/>
    <w:tmpl w:val="A6EACB42"/>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475C33"/>
    <w:multiLevelType w:val="hybridMultilevel"/>
    <w:tmpl w:val="9BE8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B0675"/>
    <w:multiLevelType w:val="hybridMultilevel"/>
    <w:tmpl w:val="AFD4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43012C"/>
    <w:multiLevelType w:val="hybridMultilevel"/>
    <w:tmpl w:val="4366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021E23"/>
    <w:multiLevelType w:val="hybridMultilevel"/>
    <w:tmpl w:val="FCFACC8E"/>
    <w:lvl w:ilvl="0" w:tplc="EF30C51A">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4D3EFA"/>
    <w:multiLevelType w:val="hybridMultilevel"/>
    <w:tmpl w:val="4FF4C9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D63DA6"/>
    <w:multiLevelType w:val="singleLevel"/>
    <w:tmpl w:val="628CF49E"/>
    <w:lvl w:ilvl="0">
      <w:start w:val="1"/>
      <w:numFmt w:val="bullet"/>
      <w:pStyle w:val="Bullets"/>
      <w:lvlText w:val=""/>
      <w:lvlJc w:val="left"/>
      <w:pPr>
        <w:ind w:left="360" w:hanging="360"/>
      </w:pPr>
      <w:rPr>
        <w:rFonts w:ascii="Symbol" w:hAnsi="Symbol" w:hint="default"/>
        <w:color w:val="003E6C"/>
        <w:sz w:val="22"/>
      </w:rPr>
    </w:lvl>
  </w:abstractNum>
  <w:abstractNum w:abstractNumId="50" w15:restartNumberingAfterBreak="0">
    <w:nsid w:val="7F511961"/>
    <w:multiLevelType w:val="hybridMultilevel"/>
    <w:tmpl w:val="E5A8E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AB24BB"/>
    <w:multiLevelType w:val="hybridMultilevel"/>
    <w:tmpl w:val="B5749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33"/>
  </w:num>
  <w:num w:numId="4">
    <w:abstractNumId w:val="49"/>
  </w:num>
  <w:num w:numId="5">
    <w:abstractNumId w:val="44"/>
  </w:num>
  <w:num w:numId="6">
    <w:abstractNumId w:val="46"/>
  </w:num>
  <w:num w:numId="7">
    <w:abstractNumId w:val="39"/>
  </w:num>
  <w:num w:numId="8">
    <w:abstractNumId w:val="7"/>
  </w:num>
  <w:num w:numId="9">
    <w:abstractNumId w:val="9"/>
  </w:num>
  <w:num w:numId="10">
    <w:abstractNumId w:val="26"/>
  </w:num>
  <w:num w:numId="11">
    <w:abstractNumId w:val="14"/>
  </w:num>
  <w:num w:numId="12">
    <w:abstractNumId w:val="5"/>
  </w:num>
  <w:num w:numId="13">
    <w:abstractNumId w:val="17"/>
  </w:num>
  <w:num w:numId="14">
    <w:abstractNumId w:val="4"/>
  </w:num>
  <w:num w:numId="15">
    <w:abstractNumId w:val="2"/>
  </w:num>
  <w:num w:numId="16">
    <w:abstractNumId w:val="43"/>
  </w:num>
  <w:num w:numId="17">
    <w:abstractNumId w:val="18"/>
  </w:num>
  <w:num w:numId="18">
    <w:abstractNumId w:val="48"/>
  </w:num>
  <w:num w:numId="19">
    <w:abstractNumId w:val="24"/>
  </w:num>
  <w:num w:numId="20">
    <w:abstractNumId w:val="15"/>
  </w:num>
  <w:num w:numId="21">
    <w:abstractNumId w:val="28"/>
  </w:num>
  <w:num w:numId="22">
    <w:abstractNumId w:val="12"/>
  </w:num>
  <w:num w:numId="23">
    <w:abstractNumId w:val="16"/>
  </w:num>
  <w:num w:numId="24">
    <w:abstractNumId w:val="50"/>
  </w:num>
  <w:num w:numId="25">
    <w:abstractNumId w:val="8"/>
  </w:num>
  <w:num w:numId="26">
    <w:abstractNumId w:val="38"/>
  </w:num>
  <w:num w:numId="27">
    <w:abstractNumId w:val="29"/>
  </w:num>
  <w:num w:numId="28">
    <w:abstractNumId w:val="51"/>
  </w:num>
  <w:num w:numId="29">
    <w:abstractNumId w:val="21"/>
  </w:num>
  <w:num w:numId="30">
    <w:abstractNumId w:val="47"/>
  </w:num>
  <w:num w:numId="31">
    <w:abstractNumId w:val="42"/>
  </w:num>
  <w:num w:numId="32">
    <w:abstractNumId w:val="23"/>
  </w:num>
  <w:num w:numId="33">
    <w:abstractNumId w:val="32"/>
  </w:num>
  <w:num w:numId="34">
    <w:abstractNumId w:val="0"/>
  </w:num>
  <w:num w:numId="35">
    <w:abstractNumId w:val="40"/>
  </w:num>
  <w:num w:numId="36">
    <w:abstractNumId w:val="27"/>
  </w:num>
  <w:num w:numId="37">
    <w:abstractNumId w:val="45"/>
  </w:num>
  <w:num w:numId="38">
    <w:abstractNumId w:val="30"/>
  </w:num>
  <w:num w:numId="39">
    <w:abstractNumId w:val="1"/>
  </w:num>
  <w:num w:numId="40">
    <w:abstractNumId w:val="31"/>
  </w:num>
  <w:num w:numId="41">
    <w:abstractNumId w:val="10"/>
  </w:num>
  <w:num w:numId="42">
    <w:abstractNumId w:val="25"/>
  </w:num>
  <w:num w:numId="43">
    <w:abstractNumId w:val="13"/>
  </w:num>
  <w:num w:numId="44">
    <w:abstractNumId w:val="22"/>
  </w:num>
  <w:num w:numId="45">
    <w:abstractNumId w:val="37"/>
  </w:num>
  <w:num w:numId="46">
    <w:abstractNumId w:val="34"/>
  </w:num>
  <w:num w:numId="47">
    <w:abstractNumId w:val="41"/>
  </w:num>
  <w:num w:numId="48">
    <w:abstractNumId w:val="6"/>
  </w:num>
  <w:num w:numId="49">
    <w:abstractNumId w:val="35"/>
  </w:num>
  <w:num w:numId="50">
    <w:abstractNumId w:val="36"/>
  </w:num>
  <w:num w:numId="51">
    <w:abstractNumId w:val="19"/>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attachedTemplate r:id="rId1"/>
  <w:linkStyl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CA"/>
    <w:rsid w:val="000065A1"/>
    <w:rsid w:val="00013C98"/>
    <w:rsid w:val="00014522"/>
    <w:rsid w:val="00015F5A"/>
    <w:rsid w:val="00023DA6"/>
    <w:rsid w:val="00024514"/>
    <w:rsid w:val="000311C3"/>
    <w:rsid w:val="00041588"/>
    <w:rsid w:val="00046CED"/>
    <w:rsid w:val="00047F7F"/>
    <w:rsid w:val="00051461"/>
    <w:rsid w:val="00051A46"/>
    <w:rsid w:val="0005465E"/>
    <w:rsid w:val="000563BA"/>
    <w:rsid w:val="00062764"/>
    <w:rsid w:val="000721A4"/>
    <w:rsid w:val="00072515"/>
    <w:rsid w:val="00073D65"/>
    <w:rsid w:val="00077176"/>
    <w:rsid w:val="00077D6F"/>
    <w:rsid w:val="00077EA6"/>
    <w:rsid w:val="000870F3"/>
    <w:rsid w:val="00091567"/>
    <w:rsid w:val="000971A9"/>
    <w:rsid w:val="000A2F09"/>
    <w:rsid w:val="000A6BCE"/>
    <w:rsid w:val="000B2166"/>
    <w:rsid w:val="000C0A21"/>
    <w:rsid w:val="000C1400"/>
    <w:rsid w:val="000C18A2"/>
    <w:rsid w:val="000C52F0"/>
    <w:rsid w:val="000C7832"/>
    <w:rsid w:val="000D413C"/>
    <w:rsid w:val="000D53F6"/>
    <w:rsid w:val="000D6418"/>
    <w:rsid w:val="000E19DB"/>
    <w:rsid w:val="000E6FD4"/>
    <w:rsid w:val="000F5697"/>
    <w:rsid w:val="000F704E"/>
    <w:rsid w:val="000F75C7"/>
    <w:rsid w:val="0010041F"/>
    <w:rsid w:val="00100B9D"/>
    <w:rsid w:val="0010583A"/>
    <w:rsid w:val="001079B9"/>
    <w:rsid w:val="001151CE"/>
    <w:rsid w:val="00122E2B"/>
    <w:rsid w:val="0012326B"/>
    <w:rsid w:val="00125444"/>
    <w:rsid w:val="00125DDB"/>
    <w:rsid w:val="0012798D"/>
    <w:rsid w:val="00130AD1"/>
    <w:rsid w:val="001343F1"/>
    <w:rsid w:val="00134E92"/>
    <w:rsid w:val="00140421"/>
    <w:rsid w:val="00141F71"/>
    <w:rsid w:val="00145E95"/>
    <w:rsid w:val="0015043E"/>
    <w:rsid w:val="00150491"/>
    <w:rsid w:val="00154798"/>
    <w:rsid w:val="00154E86"/>
    <w:rsid w:val="0016059F"/>
    <w:rsid w:val="00163CD5"/>
    <w:rsid w:val="00171FAC"/>
    <w:rsid w:val="00175C18"/>
    <w:rsid w:val="00177B38"/>
    <w:rsid w:val="00182E59"/>
    <w:rsid w:val="00186334"/>
    <w:rsid w:val="001873AE"/>
    <w:rsid w:val="00192880"/>
    <w:rsid w:val="00193789"/>
    <w:rsid w:val="0019415D"/>
    <w:rsid w:val="001969BB"/>
    <w:rsid w:val="00197C4C"/>
    <w:rsid w:val="001A4965"/>
    <w:rsid w:val="001A7C51"/>
    <w:rsid w:val="001A7C88"/>
    <w:rsid w:val="001B23FD"/>
    <w:rsid w:val="001B2499"/>
    <w:rsid w:val="001B3918"/>
    <w:rsid w:val="001C5EA0"/>
    <w:rsid w:val="001F7F9E"/>
    <w:rsid w:val="002017B8"/>
    <w:rsid w:val="00205704"/>
    <w:rsid w:val="002057E4"/>
    <w:rsid w:val="00215F41"/>
    <w:rsid w:val="00216FE5"/>
    <w:rsid w:val="00220B86"/>
    <w:rsid w:val="00231834"/>
    <w:rsid w:val="00232217"/>
    <w:rsid w:val="002334A9"/>
    <w:rsid w:val="00234485"/>
    <w:rsid w:val="00236050"/>
    <w:rsid w:val="00241A27"/>
    <w:rsid w:val="00241DE5"/>
    <w:rsid w:val="00242339"/>
    <w:rsid w:val="00246F6A"/>
    <w:rsid w:val="00254471"/>
    <w:rsid w:val="00261DEE"/>
    <w:rsid w:val="0026397D"/>
    <w:rsid w:val="002640F5"/>
    <w:rsid w:val="00264725"/>
    <w:rsid w:val="00265800"/>
    <w:rsid w:val="00267E3E"/>
    <w:rsid w:val="0027122D"/>
    <w:rsid w:val="00272915"/>
    <w:rsid w:val="002805C3"/>
    <w:rsid w:val="00281BF7"/>
    <w:rsid w:val="002847D2"/>
    <w:rsid w:val="002848CE"/>
    <w:rsid w:val="0029317E"/>
    <w:rsid w:val="00296A0F"/>
    <w:rsid w:val="002A1F7D"/>
    <w:rsid w:val="002A2490"/>
    <w:rsid w:val="002A3EAD"/>
    <w:rsid w:val="002A4C6D"/>
    <w:rsid w:val="002B0D02"/>
    <w:rsid w:val="002B2F79"/>
    <w:rsid w:val="002B3ECC"/>
    <w:rsid w:val="002B4774"/>
    <w:rsid w:val="002C0CB3"/>
    <w:rsid w:val="002C0DA6"/>
    <w:rsid w:val="002C2A65"/>
    <w:rsid w:val="002C2EEC"/>
    <w:rsid w:val="002C5949"/>
    <w:rsid w:val="002C6DD4"/>
    <w:rsid w:val="002C73CE"/>
    <w:rsid w:val="002D0BB4"/>
    <w:rsid w:val="002D3FA5"/>
    <w:rsid w:val="002E259A"/>
    <w:rsid w:val="002E5846"/>
    <w:rsid w:val="002F1577"/>
    <w:rsid w:val="002F2106"/>
    <w:rsid w:val="002F744D"/>
    <w:rsid w:val="003038E4"/>
    <w:rsid w:val="00303911"/>
    <w:rsid w:val="003113B5"/>
    <w:rsid w:val="00321B76"/>
    <w:rsid w:val="00322903"/>
    <w:rsid w:val="003250A0"/>
    <w:rsid w:val="003302B4"/>
    <w:rsid w:val="0033344D"/>
    <w:rsid w:val="003355DE"/>
    <w:rsid w:val="00335B3D"/>
    <w:rsid w:val="00336CF2"/>
    <w:rsid w:val="00340273"/>
    <w:rsid w:val="00341DAE"/>
    <w:rsid w:val="0034338E"/>
    <w:rsid w:val="003439D6"/>
    <w:rsid w:val="00347F7F"/>
    <w:rsid w:val="003504F0"/>
    <w:rsid w:val="003506FF"/>
    <w:rsid w:val="00351FC8"/>
    <w:rsid w:val="00356A3F"/>
    <w:rsid w:val="00370B87"/>
    <w:rsid w:val="00370F3B"/>
    <w:rsid w:val="003719E2"/>
    <w:rsid w:val="00382B3A"/>
    <w:rsid w:val="00383720"/>
    <w:rsid w:val="00384AB4"/>
    <w:rsid w:val="00384F86"/>
    <w:rsid w:val="003858B5"/>
    <w:rsid w:val="00387352"/>
    <w:rsid w:val="0038738A"/>
    <w:rsid w:val="00393742"/>
    <w:rsid w:val="00394F73"/>
    <w:rsid w:val="0039564A"/>
    <w:rsid w:val="00396050"/>
    <w:rsid w:val="003A5097"/>
    <w:rsid w:val="003A620D"/>
    <w:rsid w:val="003B377E"/>
    <w:rsid w:val="003B3C89"/>
    <w:rsid w:val="003B487F"/>
    <w:rsid w:val="003C5CA2"/>
    <w:rsid w:val="003D17D5"/>
    <w:rsid w:val="003D36EE"/>
    <w:rsid w:val="003D3812"/>
    <w:rsid w:val="003E1E6C"/>
    <w:rsid w:val="003E51E6"/>
    <w:rsid w:val="003F1446"/>
    <w:rsid w:val="003F2B80"/>
    <w:rsid w:val="003F3077"/>
    <w:rsid w:val="003F53AC"/>
    <w:rsid w:val="004011A7"/>
    <w:rsid w:val="00401870"/>
    <w:rsid w:val="004019DD"/>
    <w:rsid w:val="00405876"/>
    <w:rsid w:val="00415188"/>
    <w:rsid w:val="00417AE7"/>
    <w:rsid w:val="00420A03"/>
    <w:rsid w:val="00425B7E"/>
    <w:rsid w:val="00426277"/>
    <w:rsid w:val="00431BB0"/>
    <w:rsid w:val="00431CB1"/>
    <w:rsid w:val="00437EB8"/>
    <w:rsid w:val="004416D1"/>
    <w:rsid w:val="00444712"/>
    <w:rsid w:val="00444DE8"/>
    <w:rsid w:val="00444F16"/>
    <w:rsid w:val="00446E6F"/>
    <w:rsid w:val="00452E0F"/>
    <w:rsid w:val="00456DDE"/>
    <w:rsid w:val="004612D5"/>
    <w:rsid w:val="00470491"/>
    <w:rsid w:val="0047584D"/>
    <w:rsid w:val="00480665"/>
    <w:rsid w:val="00480779"/>
    <w:rsid w:val="00481318"/>
    <w:rsid w:val="00483304"/>
    <w:rsid w:val="004879FA"/>
    <w:rsid w:val="00491A87"/>
    <w:rsid w:val="004938E2"/>
    <w:rsid w:val="004A01DE"/>
    <w:rsid w:val="004A1F51"/>
    <w:rsid w:val="004A209B"/>
    <w:rsid w:val="004A3308"/>
    <w:rsid w:val="004A4521"/>
    <w:rsid w:val="004A649C"/>
    <w:rsid w:val="004A6F77"/>
    <w:rsid w:val="004A7323"/>
    <w:rsid w:val="004A77DB"/>
    <w:rsid w:val="004A7A2C"/>
    <w:rsid w:val="004B3B34"/>
    <w:rsid w:val="004B47BF"/>
    <w:rsid w:val="004C3DD7"/>
    <w:rsid w:val="004C5773"/>
    <w:rsid w:val="004C6841"/>
    <w:rsid w:val="004D0BD7"/>
    <w:rsid w:val="004D69BC"/>
    <w:rsid w:val="004E74E6"/>
    <w:rsid w:val="004F32B0"/>
    <w:rsid w:val="004F6B58"/>
    <w:rsid w:val="004F7A2B"/>
    <w:rsid w:val="005078CB"/>
    <w:rsid w:val="00510CDF"/>
    <w:rsid w:val="00510F9D"/>
    <w:rsid w:val="005139CA"/>
    <w:rsid w:val="00515C63"/>
    <w:rsid w:val="00515E9B"/>
    <w:rsid w:val="005168F4"/>
    <w:rsid w:val="0052328A"/>
    <w:rsid w:val="00530545"/>
    <w:rsid w:val="00530E9F"/>
    <w:rsid w:val="00533EC2"/>
    <w:rsid w:val="005361DB"/>
    <w:rsid w:val="00544C0C"/>
    <w:rsid w:val="00556E82"/>
    <w:rsid w:val="005600F1"/>
    <w:rsid w:val="00560147"/>
    <w:rsid w:val="00561588"/>
    <w:rsid w:val="00565C13"/>
    <w:rsid w:val="00565CA5"/>
    <w:rsid w:val="00571E73"/>
    <w:rsid w:val="00574E18"/>
    <w:rsid w:val="00582956"/>
    <w:rsid w:val="00583B9D"/>
    <w:rsid w:val="0059649C"/>
    <w:rsid w:val="00597F6C"/>
    <w:rsid w:val="005A0BC2"/>
    <w:rsid w:val="005A3CD6"/>
    <w:rsid w:val="005A476B"/>
    <w:rsid w:val="005B6994"/>
    <w:rsid w:val="005B6F81"/>
    <w:rsid w:val="005C2A91"/>
    <w:rsid w:val="005C5731"/>
    <w:rsid w:val="005C5987"/>
    <w:rsid w:val="005D2B9E"/>
    <w:rsid w:val="005D7BDA"/>
    <w:rsid w:val="005E126F"/>
    <w:rsid w:val="005E4BD1"/>
    <w:rsid w:val="005E4BFC"/>
    <w:rsid w:val="005E706C"/>
    <w:rsid w:val="005F4249"/>
    <w:rsid w:val="005F434D"/>
    <w:rsid w:val="005F5362"/>
    <w:rsid w:val="006060B6"/>
    <w:rsid w:val="006061D7"/>
    <w:rsid w:val="00607DD2"/>
    <w:rsid w:val="00612D73"/>
    <w:rsid w:val="00612D9B"/>
    <w:rsid w:val="006156B5"/>
    <w:rsid w:val="00617B7C"/>
    <w:rsid w:val="00623813"/>
    <w:rsid w:val="00623F9C"/>
    <w:rsid w:val="006247CB"/>
    <w:rsid w:val="00624F10"/>
    <w:rsid w:val="00627A83"/>
    <w:rsid w:val="006404CC"/>
    <w:rsid w:val="006424C5"/>
    <w:rsid w:val="006449A7"/>
    <w:rsid w:val="00646730"/>
    <w:rsid w:val="006509FC"/>
    <w:rsid w:val="00654642"/>
    <w:rsid w:val="00664C06"/>
    <w:rsid w:val="006661B8"/>
    <w:rsid w:val="00671ABC"/>
    <w:rsid w:val="00673E50"/>
    <w:rsid w:val="00674559"/>
    <w:rsid w:val="0067643A"/>
    <w:rsid w:val="00677FAB"/>
    <w:rsid w:val="00684466"/>
    <w:rsid w:val="00684571"/>
    <w:rsid w:val="00685C27"/>
    <w:rsid w:val="00695149"/>
    <w:rsid w:val="00696A6B"/>
    <w:rsid w:val="006A2895"/>
    <w:rsid w:val="006A5D64"/>
    <w:rsid w:val="006B0D52"/>
    <w:rsid w:val="006B23C0"/>
    <w:rsid w:val="006B3CEF"/>
    <w:rsid w:val="006B3EB9"/>
    <w:rsid w:val="006B545D"/>
    <w:rsid w:val="006C3960"/>
    <w:rsid w:val="006C5B90"/>
    <w:rsid w:val="006D0CC6"/>
    <w:rsid w:val="006D1348"/>
    <w:rsid w:val="006D55CD"/>
    <w:rsid w:val="006E0850"/>
    <w:rsid w:val="006E320F"/>
    <w:rsid w:val="006E766B"/>
    <w:rsid w:val="006F749D"/>
    <w:rsid w:val="007001A9"/>
    <w:rsid w:val="007053E3"/>
    <w:rsid w:val="007069CC"/>
    <w:rsid w:val="00710367"/>
    <w:rsid w:val="0071248B"/>
    <w:rsid w:val="007139AD"/>
    <w:rsid w:val="00717772"/>
    <w:rsid w:val="00720FB1"/>
    <w:rsid w:val="007217E5"/>
    <w:rsid w:val="00724CB0"/>
    <w:rsid w:val="00727F13"/>
    <w:rsid w:val="007370F5"/>
    <w:rsid w:val="007439A4"/>
    <w:rsid w:val="00746A23"/>
    <w:rsid w:val="00747A47"/>
    <w:rsid w:val="0075164B"/>
    <w:rsid w:val="007558D1"/>
    <w:rsid w:val="00756507"/>
    <w:rsid w:val="00757102"/>
    <w:rsid w:val="00761ABE"/>
    <w:rsid w:val="00762242"/>
    <w:rsid w:val="00765A09"/>
    <w:rsid w:val="00781C9D"/>
    <w:rsid w:val="007826C6"/>
    <w:rsid w:val="00786578"/>
    <w:rsid w:val="00786665"/>
    <w:rsid w:val="00787E61"/>
    <w:rsid w:val="007938C5"/>
    <w:rsid w:val="00795861"/>
    <w:rsid w:val="00797C42"/>
    <w:rsid w:val="007A1AA3"/>
    <w:rsid w:val="007A2334"/>
    <w:rsid w:val="007A475E"/>
    <w:rsid w:val="007A5580"/>
    <w:rsid w:val="007A58C5"/>
    <w:rsid w:val="007B5E21"/>
    <w:rsid w:val="007C2365"/>
    <w:rsid w:val="007C41E0"/>
    <w:rsid w:val="007C628A"/>
    <w:rsid w:val="007D0B56"/>
    <w:rsid w:val="007D0C7F"/>
    <w:rsid w:val="007E180C"/>
    <w:rsid w:val="007E1C9B"/>
    <w:rsid w:val="007E2E44"/>
    <w:rsid w:val="007E3F93"/>
    <w:rsid w:val="007E6F81"/>
    <w:rsid w:val="007F1D32"/>
    <w:rsid w:val="007F338C"/>
    <w:rsid w:val="007F33A1"/>
    <w:rsid w:val="007F4318"/>
    <w:rsid w:val="007F6CD8"/>
    <w:rsid w:val="00800DBF"/>
    <w:rsid w:val="00802FEE"/>
    <w:rsid w:val="00806E06"/>
    <w:rsid w:val="00807792"/>
    <w:rsid w:val="0081082A"/>
    <w:rsid w:val="00810E90"/>
    <w:rsid w:val="00811F3A"/>
    <w:rsid w:val="00817143"/>
    <w:rsid w:val="0082017B"/>
    <w:rsid w:val="008218C1"/>
    <w:rsid w:val="00821C83"/>
    <w:rsid w:val="00833C63"/>
    <w:rsid w:val="00835342"/>
    <w:rsid w:val="008424BD"/>
    <w:rsid w:val="00847226"/>
    <w:rsid w:val="00847413"/>
    <w:rsid w:val="008531E8"/>
    <w:rsid w:val="00854AAC"/>
    <w:rsid w:val="008622D1"/>
    <w:rsid w:val="00863736"/>
    <w:rsid w:val="0086437C"/>
    <w:rsid w:val="0087330F"/>
    <w:rsid w:val="00883AA6"/>
    <w:rsid w:val="00884476"/>
    <w:rsid w:val="0088729E"/>
    <w:rsid w:val="00890170"/>
    <w:rsid w:val="008909AB"/>
    <w:rsid w:val="00890CF9"/>
    <w:rsid w:val="008938B9"/>
    <w:rsid w:val="00896296"/>
    <w:rsid w:val="008A1676"/>
    <w:rsid w:val="008B286E"/>
    <w:rsid w:val="008B2F27"/>
    <w:rsid w:val="008B7C28"/>
    <w:rsid w:val="008C3718"/>
    <w:rsid w:val="008C4097"/>
    <w:rsid w:val="008C613F"/>
    <w:rsid w:val="008C73A4"/>
    <w:rsid w:val="008C7E0D"/>
    <w:rsid w:val="008D3CE4"/>
    <w:rsid w:val="008D63D1"/>
    <w:rsid w:val="008E62FF"/>
    <w:rsid w:val="008E7D62"/>
    <w:rsid w:val="008F0D9F"/>
    <w:rsid w:val="008F15EA"/>
    <w:rsid w:val="008F3F38"/>
    <w:rsid w:val="00900717"/>
    <w:rsid w:val="009077E6"/>
    <w:rsid w:val="00910900"/>
    <w:rsid w:val="00910D70"/>
    <w:rsid w:val="0091310B"/>
    <w:rsid w:val="009132F2"/>
    <w:rsid w:val="0092391A"/>
    <w:rsid w:val="0092661B"/>
    <w:rsid w:val="00931D56"/>
    <w:rsid w:val="00932105"/>
    <w:rsid w:val="00936B87"/>
    <w:rsid w:val="00937ABA"/>
    <w:rsid w:val="00944521"/>
    <w:rsid w:val="00945BE1"/>
    <w:rsid w:val="00951A45"/>
    <w:rsid w:val="00953399"/>
    <w:rsid w:val="00960209"/>
    <w:rsid w:val="00960775"/>
    <w:rsid w:val="009617EA"/>
    <w:rsid w:val="0096257D"/>
    <w:rsid w:val="009656AB"/>
    <w:rsid w:val="00967CF9"/>
    <w:rsid w:val="00972BB0"/>
    <w:rsid w:val="009758F2"/>
    <w:rsid w:val="00982D6A"/>
    <w:rsid w:val="009842C2"/>
    <w:rsid w:val="00987C8A"/>
    <w:rsid w:val="00990818"/>
    <w:rsid w:val="00991DAD"/>
    <w:rsid w:val="009951B7"/>
    <w:rsid w:val="009A047E"/>
    <w:rsid w:val="009A13B8"/>
    <w:rsid w:val="009A2DD7"/>
    <w:rsid w:val="009B115D"/>
    <w:rsid w:val="009B21F6"/>
    <w:rsid w:val="009B344D"/>
    <w:rsid w:val="009C1E77"/>
    <w:rsid w:val="009C482C"/>
    <w:rsid w:val="009C4E50"/>
    <w:rsid w:val="009D1B68"/>
    <w:rsid w:val="009D7A40"/>
    <w:rsid w:val="009E0475"/>
    <w:rsid w:val="009E24E7"/>
    <w:rsid w:val="009E484E"/>
    <w:rsid w:val="009E55E2"/>
    <w:rsid w:val="009F2AED"/>
    <w:rsid w:val="009F6E41"/>
    <w:rsid w:val="009F76D8"/>
    <w:rsid w:val="00A0489E"/>
    <w:rsid w:val="00A14C12"/>
    <w:rsid w:val="00A205C6"/>
    <w:rsid w:val="00A21CD8"/>
    <w:rsid w:val="00A23714"/>
    <w:rsid w:val="00A23A2E"/>
    <w:rsid w:val="00A26BF5"/>
    <w:rsid w:val="00A322C0"/>
    <w:rsid w:val="00A34B41"/>
    <w:rsid w:val="00A36481"/>
    <w:rsid w:val="00A3718E"/>
    <w:rsid w:val="00A4041C"/>
    <w:rsid w:val="00A40B0B"/>
    <w:rsid w:val="00A42244"/>
    <w:rsid w:val="00A425CA"/>
    <w:rsid w:val="00A43E11"/>
    <w:rsid w:val="00A56603"/>
    <w:rsid w:val="00A5773E"/>
    <w:rsid w:val="00A6166A"/>
    <w:rsid w:val="00A61B90"/>
    <w:rsid w:val="00A672A1"/>
    <w:rsid w:val="00A70BCA"/>
    <w:rsid w:val="00A73559"/>
    <w:rsid w:val="00A75F6F"/>
    <w:rsid w:val="00A82AE7"/>
    <w:rsid w:val="00A8777F"/>
    <w:rsid w:val="00A93780"/>
    <w:rsid w:val="00A94508"/>
    <w:rsid w:val="00A94C41"/>
    <w:rsid w:val="00A95C00"/>
    <w:rsid w:val="00AA0B0E"/>
    <w:rsid w:val="00AA392F"/>
    <w:rsid w:val="00AA4720"/>
    <w:rsid w:val="00AA5D0A"/>
    <w:rsid w:val="00AB0E87"/>
    <w:rsid w:val="00AB1564"/>
    <w:rsid w:val="00AB224D"/>
    <w:rsid w:val="00AB7BAE"/>
    <w:rsid w:val="00AC27F3"/>
    <w:rsid w:val="00AC2BD5"/>
    <w:rsid w:val="00AC31C9"/>
    <w:rsid w:val="00AC6D30"/>
    <w:rsid w:val="00AD0B5F"/>
    <w:rsid w:val="00AD46A5"/>
    <w:rsid w:val="00AD5373"/>
    <w:rsid w:val="00AD6813"/>
    <w:rsid w:val="00AE0425"/>
    <w:rsid w:val="00AE0DA1"/>
    <w:rsid w:val="00AF0903"/>
    <w:rsid w:val="00AF4BBF"/>
    <w:rsid w:val="00AF5038"/>
    <w:rsid w:val="00AF6DE0"/>
    <w:rsid w:val="00AF7891"/>
    <w:rsid w:val="00B00620"/>
    <w:rsid w:val="00B006E9"/>
    <w:rsid w:val="00B00991"/>
    <w:rsid w:val="00B103A9"/>
    <w:rsid w:val="00B10B41"/>
    <w:rsid w:val="00B1398D"/>
    <w:rsid w:val="00B14B27"/>
    <w:rsid w:val="00B16EBD"/>
    <w:rsid w:val="00B17012"/>
    <w:rsid w:val="00B2008F"/>
    <w:rsid w:val="00B2335A"/>
    <w:rsid w:val="00B26A4E"/>
    <w:rsid w:val="00B315A2"/>
    <w:rsid w:val="00B337FB"/>
    <w:rsid w:val="00B33C23"/>
    <w:rsid w:val="00B4227A"/>
    <w:rsid w:val="00B42759"/>
    <w:rsid w:val="00B4359D"/>
    <w:rsid w:val="00B453A5"/>
    <w:rsid w:val="00B45A61"/>
    <w:rsid w:val="00B47EA7"/>
    <w:rsid w:val="00B546DC"/>
    <w:rsid w:val="00B558DF"/>
    <w:rsid w:val="00B61D02"/>
    <w:rsid w:val="00B7145E"/>
    <w:rsid w:val="00B74F6B"/>
    <w:rsid w:val="00B76415"/>
    <w:rsid w:val="00B82872"/>
    <w:rsid w:val="00B85BC2"/>
    <w:rsid w:val="00B85FCF"/>
    <w:rsid w:val="00B90338"/>
    <w:rsid w:val="00B903CF"/>
    <w:rsid w:val="00B91DD3"/>
    <w:rsid w:val="00B9694B"/>
    <w:rsid w:val="00B97733"/>
    <w:rsid w:val="00BA2961"/>
    <w:rsid w:val="00BA2ABA"/>
    <w:rsid w:val="00BA555E"/>
    <w:rsid w:val="00BA6409"/>
    <w:rsid w:val="00BA66C7"/>
    <w:rsid w:val="00BB2FB6"/>
    <w:rsid w:val="00BB36E3"/>
    <w:rsid w:val="00BB3F9F"/>
    <w:rsid w:val="00BB78B0"/>
    <w:rsid w:val="00BC1229"/>
    <w:rsid w:val="00BC1297"/>
    <w:rsid w:val="00BC46A7"/>
    <w:rsid w:val="00BC65D5"/>
    <w:rsid w:val="00BD25A9"/>
    <w:rsid w:val="00BD7B9D"/>
    <w:rsid w:val="00BE002A"/>
    <w:rsid w:val="00BE09CA"/>
    <w:rsid w:val="00BE627C"/>
    <w:rsid w:val="00BF2F4E"/>
    <w:rsid w:val="00BF3139"/>
    <w:rsid w:val="00BF56F9"/>
    <w:rsid w:val="00BF73AF"/>
    <w:rsid w:val="00C01DB1"/>
    <w:rsid w:val="00C0216F"/>
    <w:rsid w:val="00C0234C"/>
    <w:rsid w:val="00C031FF"/>
    <w:rsid w:val="00C0326D"/>
    <w:rsid w:val="00C057CA"/>
    <w:rsid w:val="00C11444"/>
    <w:rsid w:val="00C12F26"/>
    <w:rsid w:val="00C20D5B"/>
    <w:rsid w:val="00C2407A"/>
    <w:rsid w:val="00C37A19"/>
    <w:rsid w:val="00C41D74"/>
    <w:rsid w:val="00C44DEB"/>
    <w:rsid w:val="00C4508B"/>
    <w:rsid w:val="00C450D2"/>
    <w:rsid w:val="00C464B9"/>
    <w:rsid w:val="00C52484"/>
    <w:rsid w:val="00C6420F"/>
    <w:rsid w:val="00C65D6C"/>
    <w:rsid w:val="00C711A4"/>
    <w:rsid w:val="00C71B7D"/>
    <w:rsid w:val="00C74BD3"/>
    <w:rsid w:val="00C87C64"/>
    <w:rsid w:val="00C90CB2"/>
    <w:rsid w:val="00C92845"/>
    <w:rsid w:val="00C95DEB"/>
    <w:rsid w:val="00CA19EA"/>
    <w:rsid w:val="00CA3FEF"/>
    <w:rsid w:val="00CA63C7"/>
    <w:rsid w:val="00CB2749"/>
    <w:rsid w:val="00CB3CA9"/>
    <w:rsid w:val="00CB4027"/>
    <w:rsid w:val="00CB537C"/>
    <w:rsid w:val="00CB5817"/>
    <w:rsid w:val="00CC20D3"/>
    <w:rsid w:val="00CC2C3B"/>
    <w:rsid w:val="00CC7E67"/>
    <w:rsid w:val="00CD44B7"/>
    <w:rsid w:val="00CD7F3A"/>
    <w:rsid w:val="00CE2F90"/>
    <w:rsid w:val="00CE4E70"/>
    <w:rsid w:val="00CE5B0B"/>
    <w:rsid w:val="00CF5F40"/>
    <w:rsid w:val="00CF774E"/>
    <w:rsid w:val="00CF7B07"/>
    <w:rsid w:val="00D008DF"/>
    <w:rsid w:val="00D019A0"/>
    <w:rsid w:val="00D031D6"/>
    <w:rsid w:val="00D07D63"/>
    <w:rsid w:val="00D1291B"/>
    <w:rsid w:val="00D12D56"/>
    <w:rsid w:val="00D145EF"/>
    <w:rsid w:val="00D1496E"/>
    <w:rsid w:val="00D209BB"/>
    <w:rsid w:val="00D220D6"/>
    <w:rsid w:val="00D26EBD"/>
    <w:rsid w:val="00D32AB4"/>
    <w:rsid w:val="00D34B83"/>
    <w:rsid w:val="00D35F24"/>
    <w:rsid w:val="00D41ACF"/>
    <w:rsid w:val="00D41B50"/>
    <w:rsid w:val="00D4341D"/>
    <w:rsid w:val="00D440C3"/>
    <w:rsid w:val="00D44BBC"/>
    <w:rsid w:val="00D44C85"/>
    <w:rsid w:val="00D44C98"/>
    <w:rsid w:val="00D44CC4"/>
    <w:rsid w:val="00D4694F"/>
    <w:rsid w:val="00D53E76"/>
    <w:rsid w:val="00D55788"/>
    <w:rsid w:val="00D576FA"/>
    <w:rsid w:val="00D640F5"/>
    <w:rsid w:val="00D652B4"/>
    <w:rsid w:val="00D753A4"/>
    <w:rsid w:val="00D85794"/>
    <w:rsid w:val="00D865E8"/>
    <w:rsid w:val="00D91175"/>
    <w:rsid w:val="00D91B5B"/>
    <w:rsid w:val="00D93A14"/>
    <w:rsid w:val="00DA4115"/>
    <w:rsid w:val="00DA4441"/>
    <w:rsid w:val="00DA513A"/>
    <w:rsid w:val="00DA52C7"/>
    <w:rsid w:val="00DA572B"/>
    <w:rsid w:val="00DB3C2D"/>
    <w:rsid w:val="00DB62CC"/>
    <w:rsid w:val="00DB6F0A"/>
    <w:rsid w:val="00DC7CE0"/>
    <w:rsid w:val="00DD07C3"/>
    <w:rsid w:val="00DD2ED2"/>
    <w:rsid w:val="00DD3D8C"/>
    <w:rsid w:val="00DE078F"/>
    <w:rsid w:val="00DE1F58"/>
    <w:rsid w:val="00DF3CD4"/>
    <w:rsid w:val="00E03FB7"/>
    <w:rsid w:val="00E11AC6"/>
    <w:rsid w:val="00E16A96"/>
    <w:rsid w:val="00E22008"/>
    <w:rsid w:val="00E2609C"/>
    <w:rsid w:val="00E32B26"/>
    <w:rsid w:val="00E47026"/>
    <w:rsid w:val="00E50614"/>
    <w:rsid w:val="00E52D17"/>
    <w:rsid w:val="00E61A7A"/>
    <w:rsid w:val="00E65791"/>
    <w:rsid w:val="00E65F1A"/>
    <w:rsid w:val="00E728D0"/>
    <w:rsid w:val="00E74CDF"/>
    <w:rsid w:val="00E751D7"/>
    <w:rsid w:val="00E80DD3"/>
    <w:rsid w:val="00E8174A"/>
    <w:rsid w:val="00E92526"/>
    <w:rsid w:val="00E93934"/>
    <w:rsid w:val="00E94F47"/>
    <w:rsid w:val="00E94F94"/>
    <w:rsid w:val="00EA26E1"/>
    <w:rsid w:val="00EA409D"/>
    <w:rsid w:val="00EA412C"/>
    <w:rsid w:val="00EB5197"/>
    <w:rsid w:val="00EB53E4"/>
    <w:rsid w:val="00EB5F32"/>
    <w:rsid w:val="00EC068E"/>
    <w:rsid w:val="00EC231A"/>
    <w:rsid w:val="00EC466B"/>
    <w:rsid w:val="00EC593E"/>
    <w:rsid w:val="00EC688F"/>
    <w:rsid w:val="00EC6AF1"/>
    <w:rsid w:val="00EC6F79"/>
    <w:rsid w:val="00EC7164"/>
    <w:rsid w:val="00EC79CF"/>
    <w:rsid w:val="00ED04EF"/>
    <w:rsid w:val="00ED1930"/>
    <w:rsid w:val="00ED3A38"/>
    <w:rsid w:val="00ED760D"/>
    <w:rsid w:val="00EE0863"/>
    <w:rsid w:val="00EE20A4"/>
    <w:rsid w:val="00EE373F"/>
    <w:rsid w:val="00EE5428"/>
    <w:rsid w:val="00EE6149"/>
    <w:rsid w:val="00EE687E"/>
    <w:rsid w:val="00EF0336"/>
    <w:rsid w:val="00EF2E2B"/>
    <w:rsid w:val="00EF798E"/>
    <w:rsid w:val="00EF7BB2"/>
    <w:rsid w:val="00F00C2D"/>
    <w:rsid w:val="00F0384D"/>
    <w:rsid w:val="00F0403A"/>
    <w:rsid w:val="00F07591"/>
    <w:rsid w:val="00F11BC9"/>
    <w:rsid w:val="00F13A4E"/>
    <w:rsid w:val="00F17B0A"/>
    <w:rsid w:val="00F3006D"/>
    <w:rsid w:val="00F3150C"/>
    <w:rsid w:val="00F40F2A"/>
    <w:rsid w:val="00F41A9F"/>
    <w:rsid w:val="00F4630B"/>
    <w:rsid w:val="00F47D1D"/>
    <w:rsid w:val="00F52514"/>
    <w:rsid w:val="00F54375"/>
    <w:rsid w:val="00F63A7A"/>
    <w:rsid w:val="00F63FF8"/>
    <w:rsid w:val="00F6606C"/>
    <w:rsid w:val="00F756A4"/>
    <w:rsid w:val="00F80F80"/>
    <w:rsid w:val="00F851D9"/>
    <w:rsid w:val="00F87B46"/>
    <w:rsid w:val="00F9049F"/>
    <w:rsid w:val="00F94B48"/>
    <w:rsid w:val="00F9503B"/>
    <w:rsid w:val="00F97094"/>
    <w:rsid w:val="00FA1939"/>
    <w:rsid w:val="00FA46B2"/>
    <w:rsid w:val="00FA4B7C"/>
    <w:rsid w:val="00FB5D41"/>
    <w:rsid w:val="00FC0F53"/>
    <w:rsid w:val="00FC5790"/>
    <w:rsid w:val="00FC6458"/>
    <w:rsid w:val="00FC7A48"/>
    <w:rsid w:val="00FD147D"/>
    <w:rsid w:val="00FD1D6A"/>
    <w:rsid w:val="00FD331D"/>
    <w:rsid w:val="00FD3D95"/>
    <w:rsid w:val="00FE2C2D"/>
    <w:rsid w:val="00FE48DA"/>
    <w:rsid w:val="00FE53C9"/>
    <w:rsid w:val="00FE5C5F"/>
    <w:rsid w:val="00FF1236"/>
    <w:rsid w:val="00FF16E5"/>
    <w:rsid w:val="00FF351F"/>
    <w:rsid w:val="00FF3D31"/>
    <w:rsid w:val="00FF427D"/>
    <w:rsid w:val="00FF59C2"/>
    <w:rsid w:val="00FF5B07"/>
    <w:rsid w:val="00FF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2ACED5"/>
  <w15:docId w15:val="{44857482-0C9F-4786-A1AE-B6E73CFC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C98"/>
  </w:style>
  <w:style w:type="paragraph" w:styleId="Heading1">
    <w:name w:val="heading 1"/>
    <w:next w:val="BodyText"/>
    <w:link w:val="Heading1Char"/>
    <w:uiPriority w:val="9"/>
    <w:qFormat/>
    <w:rsid w:val="00013C98"/>
    <w:pPr>
      <w:keepNext/>
      <w:keepLines/>
      <w:pBdr>
        <w:top w:val="thinThickSmallGap" w:sz="24" w:space="1" w:color="FFC000" w:themeColor="accent4"/>
      </w:pBdr>
      <w:spacing w:before="120" w:after="120" w:line="240" w:lineRule="auto"/>
      <w:outlineLvl w:val="0"/>
    </w:pPr>
    <w:rPr>
      <w:rFonts w:ascii="Corbel" w:eastAsiaTheme="majorEastAsia" w:hAnsi="Corbel" w:cstheme="majorBidi"/>
      <w:sz w:val="52"/>
      <w:szCs w:val="32"/>
    </w:rPr>
  </w:style>
  <w:style w:type="paragraph" w:styleId="Heading2">
    <w:name w:val="heading 2"/>
    <w:next w:val="BodyText"/>
    <w:link w:val="Heading2Char"/>
    <w:uiPriority w:val="9"/>
    <w:unhideWhenUsed/>
    <w:qFormat/>
    <w:rsid w:val="00013C98"/>
    <w:pPr>
      <w:keepNext/>
      <w:keepLines/>
      <w:spacing w:before="360" w:after="120" w:line="240" w:lineRule="auto"/>
      <w:outlineLvl w:val="1"/>
    </w:pPr>
    <w:rPr>
      <w:rFonts w:ascii="Corbel" w:eastAsiaTheme="majorEastAsia" w:hAnsi="Corbel" w:cstheme="majorBidi"/>
      <w:bCs/>
      <w:color w:val="000000" w:themeColor="text1"/>
      <w:sz w:val="32"/>
      <w:szCs w:val="52"/>
    </w:rPr>
  </w:style>
  <w:style w:type="paragraph" w:styleId="Heading3">
    <w:name w:val="heading 3"/>
    <w:next w:val="BodyText"/>
    <w:link w:val="Heading3Char"/>
    <w:uiPriority w:val="9"/>
    <w:unhideWhenUsed/>
    <w:qFormat/>
    <w:rsid w:val="00013C98"/>
    <w:pPr>
      <w:keepNext/>
      <w:keepLines/>
      <w:spacing w:after="60"/>
      <w:outlineLvl w:val="2"/>
    </w:pPr>
    <w:rPr>
      <w:rFonts w:ascii="Corbel" w:eastAsiaTheme="majorEastAsia" w:hAnsi="Corbel" w:cstheme="majorBidi"/>
      <w:color w:val="2F5496" w:themeColor="accent5" w:themeShade="BF"/>
      <w:sz w:val="28"/>
      <w:szCs w:val="24"/>
    </w:rPr>
  </w:style>
  <w:style w:type="paragraph" w:styleId="Heading4">
    <w:name w:val="heading 4"/>
    <w:next w:val="Normal"/>
    <w:link w:val="Heading4Char"/>
    <w:uiPriority w:val="9"/>
    <w:unhideWhenUsed/>
    <w:rsid w:val="00013C98"/>
    <w:pPr>
      <w:keepNext/>
      <w:keepLines/>
      <w:spacing w:before="40" w:after="0"/>
      <w:outlineLvl w:val="3"/>
    </w:pPr>
    <w:rPr>
      <w:rFonts w:ascii="Corbel" w:eastAsiaTheme="majorEastAsia" w:hAnsi="Corbel" w:cstheme="majorBidi"/>
      <w:b/>
      <w:iCs/>
      <w:color w:val="323E4F" w:themeColor="text2" w:themeShade="BF"/>
      <w:sz w:val="21"/>
    </w:rPr>
  </w:style>
  <w:style w:type="paragraph" w:styleId="Heading5">
    <w:name w:val="heading 5"/>
    <w:basedOn w:val="Normal"/>
    <w:next w:val="Normal"/>
    <w:link w:val="Heading5Char"/>
    <w:uiPriority w:val="9"/>
    <w:unhideWhenUsed/>
    <w:qFormat/>
    <w:rsid w:val="00685C2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13C9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57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7C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13C98"/>
    <w:rPr>
      <w:rFonts w:ascii="Corbel" w:eastAsiaTheme="majorEastAsia" w:hAnsi="Corbel" w:cstheme="majorBidi"/>
      <w:sz w:val="52"/>
      <w:szCs w:val="32"/>
    </w:rPr>
  </w:style>
  <w:style w:type="character" w:customStyle="1" w:styleId="Heading2Char">
    <w:name w:val="Heading 2 Char"/>
    <w:basedOn w:val="DefaultParagraphFont"/>
    <w:link w:val="Heading2"/>
    <w:uiPriority w:val="9"/>
    <w:rsid w:val="00013C98"/>
    <w:rPr>
      <w:rFonts w:ascii="Corbel" w:eastAsiaTheme="majorEastAsia" w:hAnsi="Corbel" w:cstheme="majorBidi"/>
      <w:bCs/>
      <w:color w:val="000000" w:themeColor="text1"/>
      <w:sz w:val="32"/>
      <w:szCs w:val="52"/>
    </w:rPr>
  </w:style>
  <w:style w:type="paragraph" w:styleId="ListParagraph">
    <w:name w:val="List Paragraph"/>
    <w:basedOn w:val="Normal"/>
    <w:uiPriority w:val="34"/>
    <w:qFormat/>
    <w:rsid w:val="00C057CA"/>
    <w:pPr>
      <w:ind w:left="720"/>
      <w:contextualSpacing/>
    </w:pPr>
  </w:style>
  <w:style w:type="character" w:customStyle="1" w:styleId="Heading3Char">
    <w:name w:val="Heading 3 Char"/>
    <w:basedOn w:val="DefaultParagraphFont"/>
    <w:link w:val="Heading3"/>
    <w:uiPriority w:val="9"/>
    <w:rsid w:val="00013C98"/>
    <w:rPr>
      <w:rFonts w:ascii="Corbel" w:eastAsiaTheme="majorEastAsia" w:hAnsi="Corbel" w:cstheme="majorBidi"/>
      <w:color w:val="2F5496" w:themeColor="accent5" w:themeShade="BF"/>
      <w:sz w:val="28"/>
      <w:szCs w:val="24"/>
    </w:rPr>
  </w:style>
  <w:style w:type="paragraph" w:customStyle="1" w:styleId="Description">
    <w:name w:val="Description"/>
    <w:basedOn w:val="ListParagraph"/>
    <w:qFormat/>
    <w:rsid w:val="008B286E"/>
    <w:pPr>
      <w:ind w:left="360"/>
    </w:pPr>
    <w:rPr>
      <w:i/>
    </w:rPr>
  </w:style>
  <w:style w:type="paragraph" w:customStyle="1" w:styleId="Checklist">
    <w:name w:val="Checklist"/>
    <w:basedOn w:val="ListParagraph"/>
    <w:qFormat/>
    <w:rsid w:val="008B286E"/>
    <w:pPr>
      <w:numPr>
        <w:numId w:val="3"/>
      </w:numPr>
    </w:pPr>
  </w:style>
  <w:style w:type="character" w:customStyle="1" w:styleId="apple-converted-space">
    <w:name w:val="apple-converted-space"/>
    <w:basedOn w:val="DefaultParagraphFont"/>
    <w:rsid w:val="00DA572B"/>
  </w:style>
  <w:style w:type="paragraph" w:styleId="BalloonText">
    <w:name w:val="Balloon Text"/>
    <w:basedOn w:val="Normal"/>
    <w:link w:val="BalloonTextChar"/>
    <w:uiPriority w:val="99"/>
    <w:semiHidden/>
    <w:unhideWhenUsed/>
    <w:rsid w:val="00B17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012"/>
    <w:rPr>
      <w:rFonts w:ascii="Segoe UI" w:hAnsi="Segoe UI" w:cs="Segoe UI"/>
      <w:sz w:val="18"/>
      <w:szCs w:val="18"/>
    </w:rPr>
  </w:style>
  <w:style w:type="paragraph" w:styleId="Header">
    <w:name w:val="header"/>
    <w:basedOn w:val="Normal"/>
    <w:link w:val="HeaderChar"/>
    <w:uiPriority w:val="99"/>
    <w:unhideWhenUsed/>
    <w:rsid w:val="00013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C98"/>
  </w:style>
  <w:style w:type="paragraph" w:styleId="Footer">
    <w:name w:val="footer"/>
    <w:basedOn w:val="Normal"/>
    <w:link w:val="FooterChar"/>
    <w:uiPriority w:val="99"/>
    <w:unhideWhenUsed/>
    <w:rsid w:val="00013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C98"/>
  </w:style>
  <w:style w:type="paragraph" w:customStyle="1" w:styleId="Bullets">
    <w:name w:val="Bullets"/>
    <w:basedOn w:val="BodyText"/>
    <w:rsid w:val="008D63D1"/>
    <w:pPr>
      <w:numPr>
        <w:numId w:val="4"/>
      </w:numPr>
      <w:tabs>
        <w:tab w:val="num" w:pos="360"/>
      </w:tabs>
      <w:spacing w:line="264" w:lineRule="auto"/>
      <w:ind w:left="0" w:firstLine="0"/>
    </w:pPr>
    <w:rPr>
      <w:rFonts w:ascii="Times New Roman" w:eastAsia="Times New Roman" w:hAnsi="Times New Roman" w:cs="Times New Roman"/>
    </w:rPr>
  </w:style>
  <w:style w:type="paragraph" w:styleId="BodyText">
    <w:name w:val="Body Text"/>
    <w:link w:val="BodyTextChar"/>
    <w:uiPriority w:val="1"/>
    <w:qFormat/>
    <w:rsid w:val="00013C98"/>
    <w:pPr>
      <w:spacing w:after="240" w:line="260" w:lineRule="atLeast"/>
    </w:pPr>
    <w:rPr>
      <w:rFonts w:ascii="Corbel" w:eastAsia="Calibri" w:hAnsi="Corbel" w:cs="Calibri"/>
      <w:sz w:val="20"/>
      <w:szCs w:val="20"/>
      <w14:numForm w14:val="lining"/>
    </w:rPr>
  </w:style>
  <w:style w:type="character" w:customStyle="1" w:styleId="BodyTextChar">
    <w:name w:val="Body Text Char"/>
    <w:basedOn w:val="DefaultParagraphFont"/>
    <w:link w:val="BodyText"/>
    <w:uiPriority w:val="1"/>
    <w:rsid w:val="00013C98"/>
    <w:rPr>
      <w:rFonts w:ascii="Corbel" w:eastAsia="Calibri" w:hAnsi="Corbel" w:cs="Calibri"/>
      <w:sz w:val="20"/>
      <w:szCs w:val="20"/>
      <w14:numForm w14:val="lining"/>
    </w:rPr>
  </w:style>
  <w:style w:type="character" w:styleId="Emphasis">
    <w:name w:val="Emphasis"/>
    <w:basedOn w:val="DefaultParagraphFont"/>
    <w:uiPriority w:val="20"/>
    <w:qFormat/>
    <w:rsid w:val="00013C98"/>
    <w:rPr>
      <w:i/>
      <w:iCs/>
    </w:rPr>
  </w:style>
  <w:style w:type="character" w:styleId="Strong">
    <w:name w:val="Strong"/>
    <w:basedOn w:val="DefaultParagraphFont"/>
    <w:uiPriority w:val="22"/>
    <w:qFormat/>
    <w:rsid w:val="00802FEE"/>
    <w:rPr>
      <w:b/>
      <w:bCs/>
      <w:color w:val="0070C0"/>
    </w:rPr>
  </w:style>
  <w:style w:type="character" w:styleId="CommentReference">
    <w:name w:val="annotation reference"/>
    <w:basedOn w:val="DefaultParagraphFont"/>
    <w:uiPriority w:val="99"/>
    <w:semiHidden/>
    <w:unhideWhenUsed/>
    <w:rsid w:val="00F87B46"/>
    <w:rPr>
      <w:sz w:val="16"/>
      <w:szCs w:val="16"/>
    </w:rPr>
  </w:style>
  <w:style w:type="paragraph" w:styleId="CommentText">
    <w:name w:val="annotation text"/>
    <w:basedOn w:val="Normal"/>
    <w:link w:val="CommentTextChar"/>
    <w:uiPriority w:val="99"/>
    <w:semiHidden/>
    <w:unhideWhenUsed/>
    <w:rsid w:val="00F87B46"/>
    <w:pPr>
      <w:spacing w:line="240" w:lineRule="auto"/>
    </w:pPr>
    <w:rPr>
      <w:sz w:val="20"/>
      <w:szCs w:val="20"/>
    </w:rPr>
  </w:style>
  <w:style w:type="character" w:customStyle="1" w:styleId="CommentTextChar">
    <w:name w:val="Comment Text Char"/>
    <w:basedOn w:val="DefaultParagraphFont"/>
    <w:link w:val="CommentText"/>
    <w:uiPriority w:val="99"/>
    <w:semiHidden/>
    <w:rsid w:val="00F87B46"/>
    <w:rPr>
      <w:sz w:val="20"/>
      <w:szCs w:val="20"/>
    </w:rPr>
  </w:style>
  <w:style w:type="paragraph" w:styleId="CommentSubject">
    <w:name w:val="annotation subject"/>
    <w:basedOn w:val="CommentText"/>
    <w:next w:val="CommentText"/>
    <w:link w:val="CommentSubjectChar"/>
    <w:uiPriority w:val="99"/>
    <w:semiHidden/>
    <w:unhideWhenUsed/>
    <w:rsid w:val="00F87B46"/>
    <w:rPr>
      <w:b/>
      <w:bCs/>
    </w:rPr>
  </w:style>
  <w:style w:type="character" w:customStyle="1" w:styleId="CommentSubjectChar">
    <w:name w:val="Comment Subject Char"/>
    <w:basedOn w:val="CommentTextChar"/>
    <w:link w:val="CommentSubject"/>
    <w:uiPriority w:val="99"/>
    <w:semiHidden/>
    <w:rsid w:val="00F87B46"/>
    <w:rPr>
      <w:b/>
      <w:bCs/>
      <w:sz w:val="20"/>
      <w:szCs w:val="20"/>
    </w:rPr>
  </w:style>
  <w:style w:type="character" w:styleId="Hyperlink">
    <w:name w:val="Hyperlink"/>
    <w:basedOn w:val="DefaultParagraphFont"/>
    <w:uiPriority w:val="99"/>
    <w:unhideWhenUsed/>
    <w:qFormat/>
    <w:rsid w:val="00013C98"/>
    <w:rPr>
      <w:color w:val="404040" w:themeColor="text1" w:themeTint="BF"/>
      <w:u w:val="dotted"/>
    </w:rPr>
  </w:style>
  <w:style w:type="character" w:customStyle="1" w:styleId="Heading4Char">
    <w:name w:val="Heading 4 Char"/>
    <w:basedOn w:val="DefaultParagraphFont"/>
    <w:link w:val="Heading4"/>
    <w:uiPriority w:val="9"/>
    <w:rsid w:val="00013C98"/>
    <w:rPr>
      <w:rFonts w:ascii="Corbel" w:eastAsiaTheme="majorEastAsia" w:hAnsi="Corbel" w:cstheme="majorBidi"/>
      <w:b/>
      <w:iCs/>
      <w:color w:val="323E4F" w:themeColor="text2" w:themeShade="BF"/>
      <w:sz w:val="21"/>
    </w:rPr>
  </w:style>
  <w:style w:type="table" w:styleId="TableGrid">
    <w:name w:val="Table Grid"/>
    <w:basedOn w:val="TableNormal"/>
    <w:uiPriority w:val="39"/>
    <w:rsid w:val="0001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031F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646730"/>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013C98"/>
    <w:rPr>
      <w:rFonts w:asciiTheme="majorHAnsi" w:eastAsiaTheme="majorEastAsia" w:hAnsiTheme="majorHAnsi" w:cstheme="majorBidi"/>
      <w:color w:val="1F4D78" w:themeColor="accent1" w:themeShade="7F"/>
    </w:rPr>
  </w:style>
  <w:style w:type="paragraph" w:customStyle="1" w:styleId="Heading3withcheckbox">
    <w:name w:val="Heading 3 with checkbox"/>
    <w:basedOn w:val="Heading3"/>
    <w:rsid w:val="00013C98"/>
    <w:pPr>
      <w:spacing w:before="360" w:after="120" w:line="240" w:lineRule="auto"/>
      <w:ind w:left="446" w:hanging="446"/>
    </w:pPr>
    <w:rPr>
      <w:rFonts w:cs="Times New Roman (Headings CS)"/>
      <w:bCs/>
      <w:color w:val="000000" w:themeColor="text1"/>
      <w:sz w:val="32"/>
      <w:szCs w:val="28"/>
      <w14:numForm w14:val="lining"/>
    </w:rPr>
  </w:style>
  <w:style w:type="paragraph" w:customStyle="1" w:styleId="Bullet">
    <w:name w:val="Bullet"/>
    <w:basedOn w:val="BodyText"/>
    <w:qFormat/>
    <w:rsid w:val="007A5580"/>
    <w:pPr>
      <w:numPr>
        <w:numId w:val="30"/>
      </w:numPr>
      <w:spacing w:after="120"/>
      <w:ind w:left="245" w:hanging="245"/>
    </w:pPr>
    <w:rPr>
      <w:color w:val="000000" w:themeColor="text1"/>
    </w:rPr>
  </w:style>
  <w:style w:type="paragraph" w:customStyle="1" w:styleId="Number">
    <w:name w:val="Number"/>
    <w:basedOn w:val="BodyText"/>
    <w:qFormat/>
    <w:rsid w:val="00013C98"/>
    <w:pPr>
      <w:numPr>
        <w:numId w:val="31"/>
      </w:numPr>
      <w:spacing w:after="60"/>
      <w:ind w:left="288" w:hanging="288"/>
    </w:pPr>
  </w:style>
  <w:style w:type="paragraph" w:customStyle="1" w:styleId="Checkablebox">
    <w:name w:val="Checkable box"/>
    <w:basedOn w:val="BodyText"/>
    <w:qFormat/>
    <w:rsid w:val="00013C98"/>
    <w:pPr>
      <w:contextualSpacing/>
    </w:pPr>
    <w:rPr>
      <w:color w:val="000000" w:themeColor="text1"/>
    </w:rPr>
  </w:style>
  <w:style w:type="paragraph" w:customStyle="1" w:styleId="Note">
    <w:name w:val="Note"/>
    <w:basedOn w:val="Normal"/>
    <w:qFormat/>
    <w:rsid w:val="00013C98"/>
    <w:pPr>
      <w:pBdr>
        <w:top w:val="single" w:sz="8" w:space="1" w:color="FFC000" w:themeColor="accent4"/>
        <w:bottom w:val="single" w:sz="8" w:space="1" w:color="FFC000" w:themeColor="accent4"/>
      </w:pBdr>
      <w:spacing w:before="240" w:after="240" w:line="240" w:lineRule="auto"/>
      <w:ind w:right="540"/>
    </w:pPr>
    <w:rPr>
      <w:rFonts w:eastAsiaTheme="minorEastAsia"/>
      <w:i/>
      <w:iCs/>
      <w:color w:val="323E4F" w:themeColor="text2" w:themeShade="BF"/>
      <w:sz w:val="20"/>
      <w:szCs w:val="18"/>
    </w:rPr>
  </w:style>
  <w:style w:type="paragraph" w:customStyle="1" w:styleId="Subbullet">
    <w:name w:val="Subbullet"/>
    <w:basedOn w:val="Bullet"/>
    <w:qFormat/>
    <w:rsid w:val="00013C98"/>
    <w:pPr>
      <w:numPr>
        <w:numId w:val="32"/>
      </w:numPr>
      <w:spacing w:line="240" w:lineRule="atLeast"/>
      <w:ind w:left="576" w:hanging="288"/>
    </w:pPr>
  </w:style>
  <w:style w:type="table" w:styleId="PlainTable1">
    <w:name w:val="Plain Table 1"/>
    <w:basedOn w:val="TableNormal"/>
    <w:uiPriority w:val="41"/>
    <w:rsid w:val="00013C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uiPriority w:val="99"/>
    <w:qFormat/>
    <w:rsid w:val="00013C98"/>
    <w:pPr>
      <w:spacing w:before="60" w:after="120" w:line="240" w:lineRule="auto"/>
    </w:pPr>
    <w:rPr>
      <w:rFonts w:ascii="Corbel" w:eastAsia="Calibri" w:hAnsi="Corbel" w:cs="Calibri"/>
      <w:color w:val="000000" w:themeColor="text1"/>
      <w:sz w:val="18"/>
    </w:rPr>
  </w:style>
  <w:style w:type="paragraph" w:customStyle="1" w:styleId="Tableheader">
    <w:name w:val="Table header"/>
    <w:basedOn w:val="Normal"/>
    <w:uiPriority w:val="99"/>
    <w:rsid w:val="00013C98"/>
    <w:pPr>
      <w:suppressAutoHyphens/>
      <w:autoSpaceDE w:val="0"/>
      <w:autoSpaceDN w:val="0"/>
      <w:adjustRightInd w:val="0"/>
      <w:spacing w:after="0" w:line="240" w:lineRule="atLeast"/>
      <w:textAlignment w:val="center"/>
    </w:pPr>
    <w:rPr>
      <w:rFonts w:ascii="Corbel" w:hAnsi="Corbel" w:cs="Corbel"/>
      <w:b/>
      <w:bCs/>
      <w:color w:val="FFFFFF"/>
      <w:sz w:val="20"/>
      <w:szCs w:val="20"/>
      <w14:numForm w14:val="lining"/>
    </w:rPr>
  </w:style>
  <w:style w:type="paragraph" w:customStyle="1" w:styleId="Endofdocument">
    <w:name w:val="End of document"/>
    <w:basedOn w:val="Normal"/>
    <w:qFormat/>
    <w:rsid w:val="00013C98"/>
    <w:pPr>
      <w:spacing w:before="120" w:after="120" w:line="240" w:lineRule="auto"/>
      <w:outlineLvl w:val="5"/>
    </w:pPr>
    <w:rPr>
      <w:rFonts w:ascii="Corbel" w:eastAsia="Corbel" w:hAnsi="Corbel" w:cs="Times New Roman"/>
      <w:i/>
      <w:color w:val="FFFFFF"/>
      <w:shd w:val="clear" w:color="auto" w:fill="588ED2"/>
    </w:rPr>
  </w:style>
  <w:style w:type="paragraph" w:customStyle="1" w:styleId="HyperlinkStyle">
    <w:name w:val="Hyperlink Style"/>
    <w:basedOn w:val="BodyText"/>
    <w:qFormat/>
    <w:rsid w:val="00013C98"/>
    <w:pPr>
      <w:spacing w:after="0" w:line="240" w:lineRule="auto"/>
    </w:pPr>
    <w:rPr>
      <w:i/>
      <w:color w:val="323E4F" w:themeColor="text2" w:themeShade="BF"/>
    </w:rPr>
  </w:style>
  <w:style w:type="paragraph" w:customStyle="1" w:styleId="Quote">
    <w:name w:val="&quot;Quote&quot;"/>
    <w:qFormat/>
    <w:rsid w:val="00013C98"/>
    <w:pPr>
      <w:pBdr>
        <w:left w:val="single" w:sz="48" w:space="13" w:color="F2BC41"/>
      </w:pBdr>
      <w:spacing w:before="240" w:after="240" w:line="240" w:lineRule="atLeast"/>
      <w:ind w:right="547" w:hanging="86"/>
    </w:pPr>
    <w:rPr>
      <w:rFonts w:ascii="Corbel" w:eastAsia="HYPost-Light" w:hAnsi="Corbel" w:cs="Times New Roman"/>
      <w:i/>
      <w:iCs/>
      <w:color w:val="5D8A93"/>
      <w:sz w:val="24"/>
    </w:rPr>
  </w:style>
  <w:style w:type="paragraph" w:customStyle="1" w:styleId="tablehead">
    <w:name w:val="table head"/>
    <w:basedOn w:val="Normal"/>
    <w:uiPriority w:val="99"/>
    <w:rsid w:val="00013C98"/>
    <w:pPr>
      <w:suppressAutoHyphens/>
      <w:autoSpaceDE w:val="0"/>
      <w:autoSpaceDN w:val="0"/>
      <w:adjustRightInd w:val="0"/>
      <w:spacing w:after="0" w:line="240" w:lineRule="atLeast"/>
      <w:textAlignment w:val="center"/>
    </w:pPr>
    <w:rPr>
      <w:rFonts w:ascii="Corbel" w:hAnsi="Corbel" w:cs="Corbel"/>
      <w:b/>
      <w:bCs/>
      <w:color w:val="FFFFFF"/>
      <w:sz w:val="20"/>
      <w:szCs w:val="20"/>
      <w14:numForm w14:val="lining"/>
    </w:rPr>
  </w:style>
  <w:style w:type="paragraph" w:customStyle="1" w:styleId="Tablenumber">
    <w:name w:val="Table number"/>
    <w:basedOn w:val="Number"/>
    <w:qFormat/>
    <w:rsid w:val="00013C98"/>
    <w:pPr>
      <w:numPr>
        <w:numId w:val="51"/>
      </w:numPr>
      <w:spacing w:line="259" w:lineRule="auto"/>
      <w:ind w:left="245" w:hanging="245"/>
    </w:pPr>
    <w:rPr>
      <w:rFonts w:eastAsiaTheme="minorHAnsi" w:cstheme="minorBidi"/>
      <w:color w:val="000000" w:themeColor="text1"/>
      <w:sz w:val="18"/>
      <w:szCs w:val="22"/>
      <w14:numForm w14:val="default"/>
    </w:rPr>
  </w:style>
  <w:style w:type="paragraph" w:styleId="Revision">
    <w:name w:val="Revision"/>
    <w:hidden/>
    <w:uiPriority w:val="99"/>
    <w:semiHidden/>
    <w:rsid w:val="00E74CDF"/>
    <w:pPr>
      <w:spacing w:after="0" w:line="240" w:lineRule="auto"/>
    </w:pPr>
  </w:style>
  <w:style w:type="paragraph" w:styleId="NormalWeb">
    <w:name w:val="Normal (Web)"/>
    <w:basedOn w:val="Normal"/>
    <w:uiPriority w:val="99"/>
    <w:semiHidden/>
    <w:unhideWhenUsed/>
    <w:rsid w:val="00E751D7"/>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35342"/>
    <w:pPr>
      <w:pBdr>
        <w:top w:val="none" w:sz="0" w:space="0" w:color="auto"/>
      </w:pBd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835342"/>
    <w:pPr>
      <w:spacing w:after="100"/>
    </w:pPr>
  </w:style>
  <w:style w:type="paragraph" w:styleId="TOC2">
    <w:name w:val="toc 2"/>
    <w:basedOn w:val="Normal"/>
    <w:next w:val="Normal"/>
    <w:autoRedefine/>
    <w:uiPriority w:val="39"/>
    <w:unhideWhenUsed/>
    <w:rsid w:val="00835342"/>
    <w:pPr>
      <w:spacing w:after="100"/>
      <w:ind w:left="220"/>
    </w:pPr>
  </w:style>
  <w:style w:type="paragraph" w:styleId="TOC3">
    <w:name w:val="toc 3"/>
    <w:basedOn w:val="Normal"/>
    <w:next w:val="Normal"/>
    <w:autoRedefine/>
    <w:uiPriority w:val="39"/>
    <w:unhideWhenUsed/>
    <w:rsid w:val="00835342"/>
    <w:pPr>
      <w:spacing w:after="100"/>
      <w:ind w:left="440"/>
    </w:pPr>
  </w:style>
  <w:style w:type="character" w:customStyle="1" w:styleId="UnresolvedMention1">
    <w:name w:val="Unresolved Mention1"/>
    <w:basedOn w:val="DefaultParagraphFont"/>
    <w:uiPriority w:val="99"/>
    <w:semiHidden/>
    <w:unhideWhenUsed/>
    <w:rsid w:val="00F851D9"/>
    <w:rPr>
      <w:color w:val="605E5C"/>
      <w:shd w:val="clear" w:color="auto" w:fill="E1DFDD"/>
    </w:rPr>
  </w:style>
  <w:style w:type="paragraph" w:styleId="Quote0">
    <w:name w:val="Quote"/>
    <w:basedOn w:val="Normal"/>
    <w:next w:val="Normal"/>
    <w:link w:val="QuoteChar"/>
    <w:uiPriority w:val="29"/>
    <w:qFormat/>
    <w:rsid w:val="00C6420F"/>
    <w:pPr>
      <w:spacing w:before="200"/>
      <w:ind w:left="864" w:right="864"/>
      <w:jc w:val="center"/>
    </w:pPr>
    <w:rPr>
      <w:i/>
      <w:iCs/>
      <w:color w:val="404040" w:themeColor="text1" w:themeTint="BF"/>
    </w:rPr>
  </w:style>
  <w:style w:type="character" w:customStyle="1" w:styleId="QuoteChar">
    <w:name w:val="Quote Char"/>
    <w:basedOn w:val="DefaultParagraphFont"/>
    <w:link w:val="Quote0"/>
    <w:uiPriority w:val="29"/>
    <w:rsid w:val="00C6420F"/>
    <w:rPr>
      <w:i/>
      <w:iCs/>
      <w:color w:val="404040" w:themeColor="text1" w:themeTint="BF"/>
    </w:rPr>
  </w:style>
  <w:style w:type="paragraph" w:styleId="IntenseQuote">
    <w:name w:val="Intense Quote"/>
    <w:basedOn w:val="Normal"/>
    <w:next w:val="Normal"/>
    <w:link w:val="IntenseQuoteChar"/>
    <w:uiPriority w:val="30"/>
    <w:qFormat/>
    <w:rsid w:val="00C6420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6420F"/>
    <w:rPr>
      <w:i/>
      <w:iCs/>
      <w:color w:val="5B9BD5" w:themeColor="accent1"/>
    </w:rPr>
  </w:style>
  <w:style w:type="paragraph" w:styleId="Subtitle">
    <w:name w:val="Subtitle"/>
    <w:basedOn w:val="Normal"/>
    <w:next w:val="Normal"/>
    <w:link w:val="SubtitleChar"/>
    <w:uiPriority w:val="11"/>
    <w:qFormat/>
    <w:rsid w:val="00C642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420F"/>
    <w:rPr>
      <w:rFonts w:eastAsiaTheme="minorEastAsia"/>
      <w:color w:val="5A5A5A" w:themeColor="text1" w:themeTint="A5"/>
      <w:spacing w:val="15"/>
    </w:rPr>
  </w:style>
  <w:style w:type="paragraph" w:customStyle="1" w:styleId="Contentsdescriptions">
    <w:name w:val="Contents descriptions"/>
    <w:basedOn w:val="TOCHeading"/>
    <w:qFormat/>
    <w:rsid w:val="00D1496E"/>
    <w:pPr>
      <w:spacing w:before="0" w:after="240" w:line="240" w:lineRule="auto"/>
      <w:ind w:left="432"/>
    </w:pPr>
    <w:rPr>
      <w:rFonts w:ascii="Corbel" w:hAnsi="Corbel"/>
      <w:i/>
      <w:color w:val="7F7F7F" w:themeColor="text1" w:themeTint="80"/>
      <w:sz w:val="22"/>
    </w:rPr>
  </w:style>
  <w:style w:type="paragraph" w:customStyle="1" w:styleId="Tablebullet">
    <w:name w:val="Table bullet"/>
    <w:basedOn w:val="TableParagraph"/>
    <w:qFormat/>
    <w:rsid w:val="00A425CA"/>
    <w:pPr>
      <w:numPr>
        <w:numId w:val="43"/>
      </w:numPr>
    </w:pPr>
    <w:rPr>
      <w:b/>
      <w:bCs/>
    </w:rPr>
  </w:style>
  <w:style w:type="character" w:styleId="FollowedHyperlink">
    <w:name w:val="FollowedHyperlink"/>
    <w:basedOn w:val="DefaultParagraphFont"/>
    <w:uiPriority w:val="99"/>
    <w:semiHidden/>
    <w:unhideWhenUsed/>
    <w:rsid w:val="00431BB0"/>
    <w:rPr>
      <w:color w:val="954F72" w:themeColor="followedHyperlink"/>
      <w:u w:val="single"/>
    </w:rPr>
  </w:style>
  <w:style w:type="character" w:customStyle="1" w:styleId="UnresolvedMention2">
    <w:name w:val="Unresolved Mention2"/>
    <w:basedOn w:val="DefaultParagraphFont"/>
    <w:uiPriority w:val="99"/>
    <w:semiHidden/>
    <w:unhideWhenUsed/>
    <w:rsid w:val="00C11444"/>
    <w:rPr>
      <w:color w:val="605E5C"/>
      <w:shd w:val="clear" w:color="auto" w:fill="E1DFDD"/>
    </w:rPr>
  </w:style>
  <w:style w:type="character" w:customStyle="1" w:styleId="Heading5Char">
    <w:name w:val="Heading 5 Char"/>
    <w:basedOn w:val="DefaultParagraphFont"/>
    <w:link w:val="Heading5"/>
    <w:uiPriority w:val="9"/>
    <w:rsid w:val="00685C2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64650">
      <w:bodyDiv w:val="1"/>
      <w:marLeft w:val="0"/>
      <w:marRight w:val="0"/>
      <w:marTop w:val="0"/>
      <w:marBottom w:val="0"/>
      <w:divBdr>
        <w:top w:val="none" w:sz="0" w:space="0" w:color="auto"/>
        <w:left w:val="none" w:sz="0" w:space="0" w:color="auto"/>
        <w:bottom w:val="none" w:sz="0" w:space="0" w:color="auto"/>
        <w:right w:val="none" w:sz="0" w:space="0" w:color="auto"/>
      </w:divBdr>
      <w:divsChild>
        <w:div w:id="1176387949">
          <w:marLeft w:val="0"/>
          <w:marRight w:val="0"/>
          <w:marTop w:val="0"/>
          <w:marBottom w:val="0"/>
          <w:divBdr>
            <w:top w:val="none" w:sz="0" w:space="0" w:color="auto"/>
            <w:left w:val="none" w:sz="0" w:space="0" w:color="auto"/>
            <w:bottom w:val="none" w:sz="0" w:space="0" w:color="auto"/>
            <w:right w:val="none" w:sz="0" w:space="0" w:color="auto"/>
          </w:divBdr>
          <w:divsChild>
            <w:div w:id="1538660389">
              <w:marLeft w:val="0"/>
              <w:marRight w:val="0"/>
              <w:marTop w:val="0"/>
              <w:marBottom w:val="0"/>
              <w:divBdr>
                <w:top w:val="none" w:sz="0" w:space="0" w:color="auto"/>
                <w:left w:val="none" w:sz="0" w:space="0" w:color="auto"/>
                <w:bottom w:val="none" w:sz="0" w:space="0" w:color="auto"/>
                <w:right w:val="none" w:sz="0" w:space="0" w:color="auto"/>
              </w:divBdr>
              <w:divsChild>
                <w:div w:id="1983464839">
                  <w:marLeft w:val="0"/>
                  <w:marRight w:val="0"/>
                  <w:marTop w:val="0"/>
                  <w:marBottom w:val="0"/>
                  <w:divBdr>
                    <w:top w:val="none" w:sz="0" w:space="0" w:color="auto"/>
                    <w:left w:val="none" w:sz="0" w:space="0" w:color="auto"/>
                    <w:bottom w:val="none" w:sz="0" w:space="0" w:color="auto"/>
                    <w:right w:val="none" w:sz="0" w:space="0" w:color="auto"/>
                  </w:divBdr>
                  <w:divsChild>
                    <w:div w:id="18342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79765">
      <w:bodyDiv w:val="1"/>
      <w:marLeft w:val="0"/>
      <w:marRight w:val="0"/>
      <w:marTop w:val="0"/>
      <w:marBottom w:val="0"/>
      <w:divBdr>
        <w:top w:val="none" w:sz="0" w:space="0" w:color="auto"/>
        <w:left w:val="none" w:sz="0" w:space="0" w:color="auto"/>
        <w:bottom w:val="none" w:sz="0" w:space="0" w:color="auto"/>
        <w:right w:val="none" w:sz="0" w:space="0" w:color="auto"/>
      </w:divBdr>
    </w:div>
    <w:div w:id="734818423">
      <w:bodyDiv w:val="1"/>
      <w:marLeft w:val="0"/>
      <w:marRight w:val="0"/>
      <w:marTop w:val="0"/>
      <w:marBottom w:val="0"/>
      <w:divBdr>
        <w:top w:val="none" w:sz="0" w:space="0" w:color="auto"/>
        <w:left w:val="none" w:sz="0" w:space="0" w:color="auto"/>
        <w:bottom w:val="none" w:sz="0" w:space="0" w:color="auto"/>
        <w:right w:val="none" w:sz="0" w:space="0" w:color="auto"/>
      </w:divBdr>
    </w:div>
    <w:div w:id="759637701">
      <w:bodyDiv w:val="1"/>
      <w:marLeft w:val="0"/>
      <w:marRight w:val="0"/>
      <w:marTop w:val="0"/>
      <w:marBottom w:val="0"/>
      <w:divBdr>
        <w:top w:val="none" w:sz="0" w:space="0" w:color="auto"/>
        <w:left w:val="none" w:sz="0" w:space="0" w:color="auto"/>
        <w:bottom w:val="none" w:sz="0" w:space="0" w:color="auto"/>
        <w:right w:val="none" w:sz="0" w:space="0" w:color="auto"/>
      </w:divBdr>
      <w:divsChild>
        <w:div w:id="1739355482">
          <w:marLeft w:val="0"/>
          <w:marRight w:val="0"/>
          <w:marTop w:val="0"/>
          <w:marBottom w:val="0"/>
          <w:divBdr>
            <w:top w:val="none" w:sz="0" w:space="0" w:color="auto"/>
            <w:left w:val="none" w:sz="0" w:space="0" w:color="auto"/>
            <w:bottom w:val="none" w:sz="0" w:space="0" w:color="auto"/>
            <w:right w:val="none" w:sz="0" w:space="0" w:color="auto"/>
          </w:divBdr>
          <w:divsChild>
            <w:div w:id="1856460665">
              <w:marLeft w:val="0"/>
              <w:marRight w:val="0"/>
              <w:marTop w:val="0"/>
              <w:marBottom w:val="0"/>
              <w:divBdr>
                <w:top w:val="none" w:sz="0" w:space="0" w:color="auto"/>
                <w:left w:val="none" w:sz="0" w:space="0" w:color="auto"/>
                <w:bottom w:val="none" w:sz="0" w:space="0" w:color="auto"/>
                <w:right w:val="none" w:sz="0" w:space="0" w:color="auto"/>
              </w:divBdr>
              <w:divsChild>
                <w:div w:id="28460423">
                  <w:marLeft w:val="0"/>
                  <w:marRight w:val="0"/>
                  <w:marTop w:val="0"/>
                  <w:marBottom w:val="0"/>
                  <w:divBdr>
                    <w:top w:val="none" w:sz="0" w:space="0" w:color="auto"/>
                    <w:left w:val="none" w:sz="0" w:space="0" w:color="auto"/>
                    <w:bottom w:val="none" w:sz="0" w:space="0" w:color="auto"/>
                    <w:right w:val="none" w:sz="0" w:space="0" w:color="auto"/>
                  </w:divBdr>
                  <w:divsChild>
                    <w:div w:id="6188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3175">
      <w:bodyDiv w:val="1"/>
      <w:marLeft w:val="0"/>
      <w:marRight w:val="0"/>
      <w:marTop w:val="0"/>
      <w:marBottom w:val="0"/>
      <w:divBdr>
        <w:top w:val="none" w:sz="0" w:space="0" w:color="auto"/>
        <w:left w:val="none" w:sz="0" w:space="0" w:color="auto"/>
        <w:bottom w:val="none" w:sz="0" w:space="0" w:color="auto"/>
        <w:right w:val="none" w:sz="0" w:space="0" w:color="auto"/>
      </w:divBdr>
      <w:divsChild>
        <w:div w:id="392969922">
          <w:marLeft w:val="547"/>
          <w:marRight w:val="0"/>
          <w:marTop w:val="106"/>
          <w:marBottom w:val="0"/>
          <w:divBdr>
            <w:top w:val="none" w:sz="0" w:space="0" w:color="auto"/>
            <w:left w:val="none" w:sz="0" w:space="0" w:color="auto"/>
            <w:bottom w:val="none" w:sz="0" w:space="0" w:color="auto"/>
            <w:right w:val="none" w:sz="0" w:space="0" w:color="auto"/>
          </w:divBdr>
        </w:div>
        <w:div w:id="1028600098">
          <w:marLeft w:val="547"/>
          <w:marRight w:val="0"/>
          <w:marTop w:val="106"/>
          <w:marBottom w:val="0"/>
          <w:divBdr>
            <w:top w:val="none" w:sz="0" w:space="0" w:color="auto"/>
            <w:left w:val="none" w:sz="0" w:space="0" w:color="auto"/>
            <w:bottom w:val="none" w:sz="0" w:space="0" w:color="auto"/>
            <w:right w:val="none" w:sz="0" w:space="0" w:color="auto"/>
          </w:divBdr>
        </w:div>
        <w:div w:id="100953442">
          <w:marLeft w:val="547"/>
          <w:marRight w:val="0"/>
          <w:marTop w:val="106"/>
          <w:marBottom w:val="0"/>
          <w:divBdr>
            <w:top w:val="none" w:sz="0" w:space="0" w:color="auto"/>
            <w:left w:val="none" w:sz="0" w:space="0" w:color="auto"/>
            <w:bottom w:val="none" w:sz="0" w:space="0" w:color="auto"/>
            <w:right w:val="none" w:sz="0" w:space="0" w:color="auto"/>
          </w:divBdr>
        </w:div>
      </w:divsChild>
    </w:div>
    <w:div w:id="1867138243">
      <w:bodyDiv w:val="1"/>
      <w:marLeft w:val="0"/>
      <w:marRight w:val="0"/>
      <w:marTop w:val="0"/>
      <w:marBottom w:val="0"/>
      <w:divBdr>
        <w:top w:val="none" w:sz="0" w:space="0" w:color="auto"/>
        <w:left w:val="none" w:sz="0" w:space="0" w:color="auto"/>
        <w:bottom w:val="none" w:sz="0" w:space="0" w:color="auto"/>
        <w:right w:val="none" w:sz="0" w:space="0" w:color="auto"/>
      </w:divBdr>
    </w:div>
    <w:div w:id="2033457228">
      <w:bodyDiv w:val="1"/>
      <w:marLeft w:val="0"/>
      <w:marRight w:val="0"/>
      <w:marTop w:val="0"/>
      <w:marBottom w:val="0"/>
      <w:divBdr>
        <w:top w:val="none" w:sz="0" w:space="0" w:color="auto"/>
        <w:left w:val="none" w:sz="0" w:space="0" w:color="auto"/>
        <w:bottom w:val="none" w:sz="0" w:space="0" w:color="auto"/>
        <w:right w:val="none" w:sz="0" w:space="0" w:color="auto"/>
      </w:divBdr>
    </w:div>
    <w:div w:id="2104379331">
      <w:bodyDiv w:val="1"/>
      <w:marLeft w:val="0"/>
      <w:marRight w:val="0"/>
      <w:marTop w:val="0"/>
      <w:marBottom w:val="0"/>
      <w:divBdr>
        <w:top w:val="none" w:sz="0" w:space="0" w:color="auto"/>
        <w:left w:val="none" w:sz="0" w:space="0" w:color="auto"/>
        <w:bottom w:val="none" w:sz="0" w:space="0" w:color="auto"/>
        <w:right w:val="none" w:sz="0" w:space="0" w:color="auto"/>
      </w:divBdr>
      <w:divsChild>
        <w:div w:id="1202670554">
          <w:marLeft w:val="0"/>
          <w:marRight w:val="0"/>
          <w:marTop w:val="0"/>
          <w:marBottom w:val="0"/>
          <w:divBdr>
            <w:top w:val="none" w:sz="0" w:space="0" w:color="auto"/>
            <w:left w:val="none" w:sz="0" w:space="0" w:color="auto"/>
            <w:bottom w:val="none" w:sz="0" w:space="0" w:color="auto"/>
            <w:right w:val="none" w:sz="0" w:space="0" w:color="auto"/>
          </w:divBdr>
          <w:divsChild>
            <w:div w:id="2128699911">
              <w:marLeft w:val="0"/>
              <w:marRight w:val="0"/>
              <w:marTop w:val="0"/>
              <w:marBottom w:val="0"/>
              <w:divBdr>
                <w:top w:val="none" w:sz="0" w:space="0" w:color="auto"/>
                <w:left w:val="none" w:sz="0" w:space="0" w:color="auto"/>
                <w:bottom w:val="none" w:sz="0" w:space="0" w:color="auto"/>
                <w:right w:val="none" w:sz="0" w:space="0" w:color="auto"/>
              </w:divBdr>
              <w:divsChild>
                <w:div w:id="5142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drugoverdose/training/oud/accessible/index.html" TargetMode="External"/><Relationship Id="rId21" Type="http://schemas.openxmlformats.org/officeDocument/2006/relationships/hyperlink" Target="https://depts.washington.edu/fammed/sixbuildingblocks/wp-content/uploads/sites/12/2018/02/Opioid_Risk_Tool.pdf" TargetMode="External"/><Relationship Id="rId42" Type="http://schemas.openxmlformats.org/officeDocument/2006/relationships/hyperlink" Target="https://www.cdc.gov/drugoverdose/training/oud/accessible/index.html" TargetMode="External"/><Relationship Id="rId47" Type="http://schemas.openxmlformats.org/officeDocument/2006/relationships/hyperlink" Target="https://depts.washington.edu/fammed/improvingopioidcare/wp-content/uploads/sites/12/2018/10/Model-patient-agreement_2018-10-02.docx" TargetMode="External"/><Relationship Id="rId63" Type="http://schemas.openxmlformats.org/officeDocument/2006/relationships/hyperlink" Target="https://www.cdc.gov/drugoverdose/prescribing/app.html" TargetMode="External"/><Relationship Id="rId68" Type="http://schemas.openxmlformats.org/officeDocument/2006/relationships/hyperlink" Target="https://www.oregonpainguidance.org/app/content/uploads/2016/05/SOAPP-R.pdf" TargetMode="External"/><Relationship Id="rId84" Type="http://schemas.openxmlformats.org/officeDocument/2006/relationships/hyperlink" Target="https://www.cdc.gov/drugoverdose/training/oud/accessible/index.html" TargetMode="External"/><Relationship Id="rId89" Type="http://schemas.openxmlformats.org/officeDocument/2006/relationships/hyperlink" Target="https://depts.washington.edu/fammed/sixbuildingblocks/wp-content/uploads/sites/12/2018/02/Opioid_Risk_Tool.pdf" TargetMode="External"/><Relationship Id="rId16" Type="http://schemas.openxmlformats.org/officeDocument/2006/relationships/hyperlink" Target="https://depts.washington.edu/fammed/sixbuildingblocks/wp-content/uploads/sites/12/2018/10/CDC-DUIP-UrineDrugTesting_FactSheet-508.pdf" TargetMode="External"/><Relationship Id="rId11" Type="http://schemas.openxmlformats.org/officeDocument/2006/relationships/hyperlink" Target="https://depts.washington.edu/fammed/sixbuildingblocks/wp-content/uploads/sites/12/2018/02/Pain-Enjoyment-General-activity.pdf" TargetMode="External"/><Relationship Id="rId32" Type="http://schemas.openxmlformats.org/officeDocument/2006/relationships/hyperlink" Target="https://depts.washington.edu/fammed/sixbuildingblocks/wp-content/uploads/sites/12/2019/02/Patients-on-legacy-prescriptions_2019-02-15.pdf" TargetMode="External"/><Relationship Id="rId37" Type="http://schemas.openxmlformats.org/officeDocument/2006/relationships/hyperlink" Target="https://depts.washington.edu/fammed/sixbuildingblocks/wp-content/uploads/sites/12/2018/02/Opioid_Risk_Tool.pdf" TargetMode="External"/><Relationship Id="rId53" Type="http://schemas.openxmlformats.org/officeDocument/2006/relationships/hyperlink" Target="https://www.improvingopioidcare.org/wp-content/uploads/2018/02/VA-Opioid-Taper-Decision-Tool.pdf" TargetMode="External"/><Relationship Id="rId58" Type="http://schemas.openxmlformats.org/officeDocument/2006/relationships/hyperlink" Target="https://depts.washington.edu/fammed/sixbuildingblocks/wp-content/uploads/sites/12/2018/02/Pain-Enjoyment-General-activity.pdf" TargetMode="External"/><Relationship Id="rId74" Type="http://schemas.openxmlformats.org/officeDocument/2006/relationships/hyperlink" Target="https://depts.washington.edu/fammed/sixbuildingblocks/wp-content/uploads/sites/12/2018/10/CDC-DUIP-UrineDrugTesting_FactSheet-508.pdf" TargetMode="External"/><Relationship Id="rId79" Type="http://schemas.openxmlformats.org/officeDocument/2006/relationships/hyperlink" Target="http://depts.washington.edu/fammed/improvingopioidcare/wp-content/uploads/sites/12/2018/02/GAD-7.pdf"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oregonpainguidance.org/app/content/uploads/2016/05/SOAPP-R.pdf" TargetMode="External"/><Relationship Id="rId95" Type="http://schemas.openxmlformats.org/officeDocument/2006/relationships/hyperlink" Target="https://www.cdc.gov/drugoverdose/training/oud/accessible/index.html" TargetMode="External"/><Relationship Id="rId22" Type="http://schemas.openxmlformats.org/officeDocument/2006/relationships/hyperlink" Target="https://www.oregonpainguidance.org/app/content/uploads/2016/05/SOAPP-R.pdf" TargetMode="External"/><Relationship Id="rId27" Type="http://schemas.openxmlformats.org/officeDocument/2006/relationships/hyperlink" Target="http://depts.washington.edu/fammed/improvingopioidcare/wp-content/uploads/sites/12/2018/02/Patient-Health-Questionnaire.pdf" TargetMode="External"/><Relationship Id="rId43" Type="http://schemas.openxmlformats.org/officeDocument/2006/relationships/hyperlink" Target="https://depts.washington.edu/fammed/sixbuildingblocks/wp-content/uploads/sites/12/2018/02/List-of-sedatives-names.pdf" TargetMode="External"/><Relationship Id="rId48" Type="http://schemas.openxmlformats.org/officeDocument/2006/relationships/hyperlink" Target="https://www.cdc.gov/drugoverdose/prescribing/app.html" TargetMode="External"/><Relationship Id="rId64" Type="http://schemas.openxmlformats.org/officeDocument/2006/relationships/hyperlink" Target="https://depts.washington.edu/fammed/sixbuildingblocks/wp-content/uploads/sites/12/2018/02/Current-Opioid-Misuse-Measure.pdf" TargetMode="External"/><Relationship Id="rId69" Type="http://schemas.openxmlformats.org/officeDocument/2006/relationships/hyperlink" Target="https://depts.washington.edu/fammed/sixbuildingblocks/wp-content/uploads/sites/12/2018/02/Current-Opioid-Misuse-Measure.pdf" TargetMode="External"/><Relationship Id="rId80" Type="http://schemas.openxmlformats.org/officeDocument/2006/relationships/hyperlink" Target="https://depts.washington.edu/fammed/sixbuildingblocks/wp-content/uploads/sites/12/2018/02/PC-PTSD.pdf" TargetMode="External"/><Relationship Id="rId85" Type="http://schemas.openxmlformats.org/officeDocument/2006/relationships/hyperlink" Target="http://www.stopbang.ca/osa/screening.php" TargetMode="External"/><Relationship Id="rId12" Type="http://schemas.openxmlformats.org/officeDocument/2006/relationships/hyperlink" Target="https://depts.washington.edu/fammed/sixbuildingblocks/wp-content/uploads/sites/12/2019/02/Care-Plan_2019-02-20.pdf" TargetMode="External"/><Relationship Id="rId17" Type="http://schemas.openxmlformats.org/officeDocument/2006/relationships/hyperlink" Target="https://depts.washington.edu/fammed/sixbuildingblocks/wp-content/uploads/sites/12/2018/02/List-of-sedatives-names.pdf" TargetMode="External"/><Relationship Id="rId33" Type="http://schemas.openxmlformats.org/officeDocument/2006/relationships/hyperlink" Target="https://depts.washington.edu/fammed/sixbuildingblocks/wp-content/uploads/sites/12/2018/02/Pain-Enjoyment-General-activity.pdf" TargetMode="External"/><Relationship Id="rId38" Type="http://schemas.openxmlformats.org/officeDocument/2006/relationships/hyperlink" Target="https://www.oregonpainguidance.org/app/content/uploads/2016/05/SOAPP-R.pdf" TargetMode="External"/><Relationship Id="rId59" Type="http://schemas.openxmlformats.org/officeDocument/2006/relationships/hyperlink" Target="https://depts.washington.edu/fammed/sixbuildingblocks/wp-content/uploads/sites/12/2019/02/Care-Plan_2019-02-20.pdf" TargetMode="External"/><Relationship Id="rId103" Type="http://schemas.openxmlformats.org/officeDocument/2006/relationships/fontTable" Target="fontTable.xml"/><Relationship Id="rId20" Type="http://schemas.openxmlformats.org/officeDocument/2006/relationships/hyperlink" Target="https://www.cdc.gov/drugoverdose/prescribing/app.html" TargetMode="External"/><Relationship Id="rId41" Type="http://schemas.openxmlformats.org/officeDocument/2006/relationships/hyperlink" Target="https://cde.drugabuse.gov/instrument/29b23e2e-e266-f095-e050-bb89ad43472f" TargetMode="External"/><Relationship Id="rId54" Type="http://schemas.openxmlformats.org/officeDocument/2006/relationships/hyperlink" Target="https://depts.washington.edu/fammed/sixbuildingblocks/wp-content/uploads/sites/12/2018/02/List-of-sedatives-names.pdf" TargetMode="External"/><Relationship Id="rId62" Type="http://schemas.openxmlformats.org/officeDocument/2006/relationships/hyperlink" Target="https://depts.washington.edu/fammed/sixbuildingblocks/wp-content/uploads/sites/12/2018/02/Pain-Enjoyment-General-activity.pdf" TargetMode="External"/><Relationship Id="rId70" Type="http://schemas.openxmlformats.org/officeDocument/2006/relationships/hyperlink" Target="https://www.hca.wa.gov/assets/billers-and-providers/sbirt-screening-dast-en.docx" TargetMode="External"/><Relationship Id="rId75" Type="http://schemas.openxmlformats.org/officeDocument/2006/relationships/hyperlink" Target="https://depts.washington.edu/fammed/sixbuildingblocks/wp-content/uploads/sites/12/2018/02/List-of-sedatives-names.pdf" TargetMode="External"/><Relationship Id="rId83" Type="http://schemas.openxmlformats.org/officeDocument/2006/relationships/hyperlink" Target="https://www.cdc.gov/drugoverdose/training/oud/accessible/index.html" TargetMode="External"/><Relationship Id="rId88" Type="http://schemas.openxmlformats.org/officeDocument/2006/relationships/hyperlink" Target="https://www.improvingopioidcare.org/wp-content/uploads/2018/02/PC-PTSD.pdf" TargetMode="External"/><Relationship Id="rId91" Type="http://schemas.openxmlformats.org/officeDocument/2006/relationships/hyperlink" Target="https://depts.washington.edu/fammed/sixbuildingblocks/wp-content/uploads/sites/12/2018/02/Current-Opioid-Misuse-Measure.pdf" TargetMode="External"/><Relationship Id="rId96" Type="http://schemas.openxmlformats.org/officeDocument/2006/relationships/hyperlink" Target="https://www.improvingopioidcare.org/wp-content/uploads/2018/10/CDC-DUIP-UrineDrugTesting_FactSheet-508.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pts.washington.edu/fammed/sixbuildingblocks/wp-content/uploads/sites/12/2018/02/List-of-sedatives-names.pdf" TargetMode="External"/><Relationship Id="rId23" Type="http://schemas.openxmlformats.org/officeDocument/2006/relationships/hyperlink" Target="https://depts.washington.edu/fammed/sixbuildingblocks/wp-content/uploads/sites/12/2018/02/Current-Opioid-Misuse-Measure.pdf" TargetMode="External"/><Relationship Id="rId28" Type="http://schemas.openxmlformats.org/officeDocument/2006/relationships/hyperlink" Target="http://depts.washington.edu/fammed/improvingopioidcare/wp-content/uploads/sites/12/2018/02/GAD-7.pdf" TargetMode="External"/><Relationship Id="rId36" Type="http://schemas.openxmlformats.org/officeDocument/2006/relationships/hyperlink" Target="https://depts.washington.edu/fammed/sixbuildingblocks/wp-content/uploads/sites/12/2018/10/nonopioid_treatments-a.pdf" TargetMode="External"/><Relationship Id="rId49" Type="http://schemas.openxmlformats.org/officeDocument/2006/relationships/hyperlink" Target="http://depts.washington.edu/fammed/improvingopioidcare/wp-content/uploads/sites/12/2018/02/Patient-Health-Questionnaire.pdf" TargetMode="External"/><Relationship Id="rId57" Type="http://schemas.openxmlformats.org/officeDocument/2006/relationships/hyperlink" Target="https://depts.washington.edu/fammed/sixbuildingblocks/wp-content/uploads/sites/12/2018/02/List-of-sedatives-names.pdf" TargetMode="External"/><Relationship Id="rId10" Type="http://schemas.openxmlformats.org/officeDocument/2006/relationships/hyperlink" Target="https://depts.washington.edu/fammed/sixbuildingblocks/wp-content/uploads/sites/12/2018/02/List-of-sedatives-names.pdf" TargetMode="External"/><Relationship Id="rId31" Type="http://schemas.openxmlformats.org/officeDocument/2006/relationships/hyperlink" Target="https://www.improvingopioidcare.org/wp-content/uploads/2018/02/VA-Opioid-Taper-Decision-Tool.pdf" TargetMode="External"/><Relationship Id="rId44" Type="http://schemas.openxmlformats.org/officeDocument/2006/relationships/hyperlink" Target="https://depts.washington.edu/fammed/sixbuildingblocks/wp-content/uploads/sites/12/2018/10/CDC-DUIP-UrineDrugTesting_FactSheet-508.pdf" TargetMode="External"/><Relationship Id="rId52" Type="http://schemas.openxmlformats.org/officeDocument/2006/relationships/hyperlink" Target="https://depts.washington.edu/fammed/sixbuildingblocks/wp-content/uploads/sites/12/2018/02/List-of-sedatives-names.pdf" TargetMode="External"/><Relationship Id="rId60" Type="http://schemas.openxmlformats.org/officeDocument/2006/relationships/hyperlink" Target="https://depts.washington.edu/fammed/sixbuildingblocks/wp-content/uploads/sites/12/2018/08/Complementary-and-Alternative-Medicine-for-Chronic-Pain_2018-08-13_new.pdf" TargetMode="External"/><Relationship Id="rId65" Type="http://schemas.openxmlformats.org/officeDocument/2006/relationships/hyperlink" Target="http://www.stopbang.ca/osa/screening.php" TargetMode="External"/><Relationship Id="rId73" Type="http://schemas.openxmlformats.org/officeDocument/2006/relationships/hyperlink" Target="https://depts.washington.edu/fammed/sixbuildingblocks/wp-content/uploads/sites/12/2018/02/List-of-sedatives-names.pdf" TargetMode="External"/><Relationship Id="rId78" Type="http://schemas.openxmlformats.org/officeDocument/2006/relationships/hyperlink" Target="http://depts.washington.edu/fammed/improvingopioidcare/wp-content/uploads/sites/12/2018/02/Patient-Health-Questionnaire.pdf" TargetMode="External"/><Relationship Id="rId81" Type="http://schemas.openxmlformats.org/officeDocument/2006/relationships/hyperlink" Target="http://www.stopbang.ca/osa/screening.php" TargetMode="External"/><Relationship Id="rId86" Type="http://schemas.openxmlformats.org/officeDocument/2006/relationships/hyperlink" Target="https://www.improvingopioidcare.org/wp-content/uploads/2018/02/Patient-Health-Questionnaire.pdf" TargetMode="External"/><Relationship Id="rId94" Type="http://schemas.openxmlformats.org/officeDocument/2006/relationships/hyperlink" Target="https://www.cdc.gov/drugoverdose/training/oud/accessible/index.html" TargetMode="External"/><Relationship Id="rId99" Type="http://schemas.openxmlformats.org/officeDocument/2006/relationships/hyperlink" Target="http://www.pdmpassist.org/content/state-pdmp-websites"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pts.washington.edu/fammed/sixbuildingblocks/wp-content/uploads/sites/12/2018/02/Pain-Enjoyment-General-activity.pdf" TargetMode="External"/><Relationship Id="rId13" Type="http://schemas.openxmlformats.org/officeDocument/2006/relationships/hyperlink" Target="https://depts.washington.edu/fammed/sixbuildingblocks/wp-content/uploads/sites/12/2018/08/Complementary-and-Alternative-Medicine-for-Chronic-Pain_2018-08-13_new.pdf" TargetMode="External"/><Relationship Id="rId18" Type="http://schemas.openxmlformats.org/officeDocument/2006/relationships/hyperlink" Target="https://www.cdc.gov/drugoverdose/prescribing/app.html" TargetMode="External"/><Relationship Id="rId39" Type="http://schemas.openxmlformats.org/officeDocument/2006/relationships/hyperlink" Target="https://depts.washington.edu/fammed/sixbuildingblocks/wp-content/uploads/sites/12/2018/02/Current-Opioid-Misuse-Measure.pdf" TargetMode="External"/><Relationship Id="rId34" Type="http://schemas.openxmlformats.org/officeDocument/2006/relationships/hyperlink" Target="https://depts.washington.edu/fammed/sixbuildingblocks/wp-content/uploads/sites/12/2019/02/Care-Plan_2019-02-20.pdf" TargetMode="External"/><Relationship Id="rId50" Type="http://schemas.openxmlformats.org/officeDocument/2006/relationships/hyperlink" Target="http://depts.washington.edu/fammed/improvingopioidcare/wp-content/uploads/sites/12/2018/02/GAD-7.pdf" TargetMode="External"/><Relationship Id="rId55" Type="http://schemas.openxmlformats.org/officeDocument/2006/relationships/hyperlink" Target="https://www.improvingopioidcare.org/wp-content/uploads/2018/02/VA-Opioid-Taper-Decision-Tool.pdf" TargetMode="External"/><Relationship Id="rId76" Type="http://schemas.openxmlformats.org/officeDocument/2006/relationships/hyperlink" Target="https://depts.washington.edu/fammed/improvingopioidcare/wp-content/uploads/sites/12/2018/10/Model-patient-agreement_2018-10-02.docx" TargetMode="External"/><Relationship Id="rId97" Type="http://schemas.openxmlformats.org/officeDocument/2006/relationships/hyperlink" Target="http://www.pdmpassist.org/content/state-pdmp-websites"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de.drugabuse.gov/instrument/29b23e2e-e266-f095-e050-bb89ad43472f" TargetMode="External"/><Relationship Id="rId92" Type="http://schemas.openxmlformats.org/officeDocument/2006/relationships/hyperlink" Target="https://www.hca.wa.gov/assets/billers-and-providers/sbirt-screening-dast-en.docx" TargetMode="External"/><Relationship Id="rId2" Type="http://schemas.openxmlformats.org/officeDocument/2006/relationships/numbering" Target="numbering.xml"/><Relationship Id="rId29" Type="http://schemas.openxmlformats.org/officeDocument/2006/relationships/hyperlink" Target="https://depts.washington.edu/fammed/sixbuildingblocks/wp-content/uploads/sites/12/2018/02/PC-PTSD.pdf" TargetMode="External"/><Relationship Id="rId24" Type="http://schemas.openxmlformats.org/officeDocument/2006/relationships/hyperlink" Target="https://www.hca.wa.gov/assets/billers-and-providers/sbirt-screening-dast-en.docx" TargetMode="External"/><Relationship Id="rId40" Type="http://schemas.openxmlformats.org/officeDocument/2006/relationships/hyperlink" Target="https://www.hca.wa.gov/assets/billers-and-providers/sbirt-screening-dast-en.docx" TargetMode="External"/><Relationship Id="rId45" Type="http://schemas.openxmlformats.org/officeDocument/2006/relationships/hyperlink" Target="https://depts.washington.edu/fammed/sixbuildingblocks/wp-content/uploads/sites/12/2018/02/List-of-sedatives-names.pdf" TargetMode="External"/><Relationship Id="rId66" Type="http://schemas.openxmlformats.org/officeDocument/2006/relationships/hyperlink" Target="https://depts.washington.edu/fammed/sixbuildingblocks/wp-content/uploads/sites/12/2018/10/CDC-DUIP-UrineDrugTesting_FactSheet-508.pdf" TargetMode="External"/><Relationship Id="rId87" Type="http://schemas.openxmlformats.org/officeDocument/2006/relationships/hyperlink" Target="https://www.improvingopioidcare.org/wp-content/uploads/2018/02/GAD-7.pdf" TargetMode="External"/><Relationship Id="rId61" Type="http://schemas.openxmlformats.org/officeDocument/2006/relationships/hyperlink" Target="https://depts.washington.edu/fammed/sixbuildingblocks/wp-content/uploads/sites/12/2018/10/nonopioid_treatments-a.pdf" TargetMode="External"/><Relationship Id="rId82" Type="http://schemas.openxmlformats.org/officeDocument/2006/relationships/hyperlink" Target="https://www.rheumatology.org/I-Am-A/Rheumatologist/Research/Clinician-Researchers/Fibromyalgia-Impact-Questionnaire-FIQ" TargetMode="External"/><Relationship Id="rId19" Type="http://schemas.openxmlformats.org/officeDocument/2006/relationships/hyperlink" Target="https://depts.washington.edu/fammed/improvingopioidcare/wp-content/uploads/sites/12/2018/10/Model-patient-agreement_2018-10-02.docx" TargetMode="External"/><Relationship Id="rId14" Type="http://schemas.openxmlformats.org/officeDocument/2006/relationships/hyperlink" Target="https://depts.washington.edu/fammed/sixbuildingblocks/wp-content/uploads/sites/12/2018/10/nonopioid_treatments-a.pdf" TargetMode="External"/><Relationship Id="rId30" Type="http://schemas.openxmlformats.org/officeDocument/2006/relationships/hyperlink" Target="https://depts.washington.edu/fammed/sixbuildingblocks/wp-content/uploads/sites/12/2018/02/List-of-sedatives-names.pdf" TargetMode="External"/><Relationship Id="rId35" Type="http://schemas.openxmlformats.org/officeDocument/2006/relationships/hyperlink" Target="https://depts.washington.edu/fammed/sixbuildingblocks/wp-content/uploads/sites/12/2018/08/Complementary-and-Alternative-Medicine-for-Chronic-Pain_2018-08-13_new.pdf" TargetMode="External"/><Relationship Id="rId56" Type="http://schemas.openxmlformats.org/officeDocument/2006/relationships/hyperlink" Target="https://depts.washington.edu/fammed/sixbuildingblocks/wp-content/uploads/sites/12/2018/02/List-of-sedatives-names.pdf" TargetMode="External"/><Relationship Id="rId77" Type="http://schemas.openxmlformats.org/officeDocument/2006/relationships/hyperlink" Target="https://www.cdc.gov/drugoverdose/prescribing/app.html" TargetMode="External"/><Relationship Id="rId100" Type="http://schemas.openxmlformats.org/officeDocument/2006/relationships/hyperlink" Target="https://depts.washington.edu/fammed/sixbuildingblocks/wp-content/uploads/sites/12/2018/02/List-of-sedatives-names.pdf" TargetMode="External"/><Relationship Id="rId105" Type="http://schemas.microsoft.com/office/2016/09/relationships/commentsIds" Target="commentsIds.xml"/><Relationship Id="rId8" Type="http://schemas.openxmlformats.org/officeDocument/2006/relationships/hyperlink" Target="https://www.cdc.gov/drugoverdose/prescribing/app.html" TargetMode="External"/><Relationship Id="rId51" Type="http://schemas.openxmlformats.org/officeDocument/2006/relationships/hyperlink" Target="https://depts.washington.edu/fammed/sixbuildingblocks/wp-content/uploads/sites/12/2018/02/PC-PTSD.pdf" TargetMode="External"/><Relationship Id="rId72" Type="http://schemas.openxmlformats.org/officeDocument/2006/relationships/hyperlink" Target="https://www.cdc.gov/drugoverdose/training/oud/accessible/index.html" TargetMode="External"/><Relationship Id="rId93" Type="http://schemas.openxmlformats.org/officeDocument/2006/relationships/hyperlink" Target="https://cde.drugabuse.gov/instrument/29b23e2e-e266-f095-e050-bb89ad43472f" TargetMode="External"/><Relationship Id="rId98" Type="http://schemas.openxmlformats.org/officeDocument/2006/relationships/hyperlink" Target="https://www.cdc.gov/drugoverdose/prescribing/app.html" TargetMode="External"/><Relationship Id="rId3" Type="http://schemas.openxmlformats.org/officeDocument/2006/relationships/styles" Target="styles.xml"/><Relationship Id="rId25" Type="http://schemas.openxmlformats.org/officeDocument/2006/relationships/hyperlink" Target="https://cde.drugabuse.gov/instrument/29b23e2e-e266-f095-e050-bb89ad43472f" TargetMode="External"/><Relationship Id="rId46" Type="http://schemas.openxmlformats.org/officeDocument/2006/relationships/hyperlink" Target="https://www.cdc.gov/drugoverdose/prescribing/app.html" TargetMode="External"/><Relationship Id="rId67" Type="http://schemas.openxmlformats.org/officeDocument/2006/relationships/hyperlink" Target="https://depts.washington.edu/fammed/sixbuildingblocks/wp-content/uploads/sites/12/2018/02/Opioid_Risk_Tool.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creativecommons.org/licenses/by-nc-sa/4.0/" TargetMode="External"/><Relationship Id="rId4" Type="http://schemas.openxmlformats.org/officeDocument/2006/relationships/hyperlink" Target="http://creativecommons.org/licenses/by-nc-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ke2\Desktop\6BB%20Toolk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312D-1FDF-4863-8BFF-7BE1305C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6BB Toolkit</Template>
  <TotalTime>13</TotalTime>
  <Pages>15</Pages>
  <Words>6731</Words>
  <Characters>38370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GHC</Company>
  <LinksUpToDate>false</LinksUpToDate>
  <CharactersWithSpaces>45011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Brooke Ike</dc:creator>
  <cp:lastModifiedBy>Brooke Ike</cp:lastModifiedBy>
  <cp:revision>4</cp:revision>
  <dcterms:created xsi:type="dcterms:W3CDTF">2019-05-23T23:58:00Z</dcterms:created>
  <dcterms:modified xsi:type="dcterms:W3CDTF">2019-05-24T04:01:00Z</dcterms:modified>
</cp:coreProperties>
</file>