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B4E88" w14:textId="77777777" w:rsidR="00D07F32" w:rsidRDefault="00D07F32" w:rsidP="00D07F32">
      <w:pPr>
        <w:pStyle w:val="Heading1"/>
      </w:pPr>
      <w:bookmarkStart w:id="0" w:name="_GoBack"/>
      <w:bookmarkEnd w:id="0"/>
      <w:r>
        <w:t>Risk Stratification and Opioid Prescribing</w:t>
      </w:r>
    </w:p>
    <w:p w14:paraId="67B06CC1" w14:textId="77777777" w:rsidR="00D07F32" w:rsidRPr="00D07F32" w:rsidRDefault="00D07F32" w:rsidP="004969B4">
      <w:pPr>
        <w:pStyle w:val="BodyText"/>
        <w:rPr>
          <w:rFonts w:eastAsia="Times New Roman" w:cs="Times New Roman"/>
        </w:rPr>
      </w:pPr>
      <w:r>
        <w:t xml:space="preserve">The resource gives guidance on how primaray care practices can </w:t>
      </w:r>
      <w:r w:rsidRPr="00D07F32">
        <w:rPr>
          <w:rStyle w:val="BodyTextChar"/>
        </w:rPr>
        <w:t>vary care for patients using long-term opioid therapy based on the patient’s risk of adverse outcomes. Assessing risk is best performed using professionally developed and clinically recommended risk assessment</w:t>
      </w:r>
      <w:r w:rsidRPr="00D07F32">
        <w:t xml:space="preserve"> tools to assign patients </w:t>
      </w:r>
      <w:r w:rsidRPr="004969B4">
        <w:t>to</w:t>
      </w:r>
      <w:r w:rsidRPr="00D07F32">
        <w:t xml:space="preserve"> a high-, medium-, or low-risk category. The risk categories and care variance is based on the Washington State opioid prescribing rules.</w:t>
      </w:r>
    </w:p>
    <w:p w14:paraId="76490E8A" w14:textId="77777777" w:rsidR="00D07F32" w:rsidRDefault="00D07F32" w:rsidP="00D07F32">
      <w:pPr>
        <w:pStyle w:val="Heading2"/>
      </w:pPr>
      <w:r>
        <w:t xml:space="preserve">Risk categories </w:t>
      </w:r>
    </w:p>
    <w:p w14:paraId="6BBFA995" w14:textId="77777777" w:rsidR="00D07F32" w:rsidRPr="009F2754" w:rsidRDefault="00D07F32" w:rsidP="00D07F32">
      <w:pPr>
        <w:pStyle w:val="Bullet"/>
      </w:pPr>
      <w:r w:rsidRPr="00A56059">
        <w:rPr>
          <w:b/>
        </w:rPr>
        <w:t>High risk</w:t>
      </w:r>
      <w:r>
        <w:t>:</w:t>
      </w:r>
      <w:r w:rsidRPr="009F2754">
        <w:t xml:space="preserve"> </w:t>
      </w:r>
      <w:r>
        <w:t xml:space="preserve">This includes </w:t>
      </w:r>
      <w:r w:rsidRPr="009F2754">
        <w:t>patient</w:t>
      </w:r>
      <w:r>
        <w:t>s</w:t>
      </w:r>
      <w:r w:rsidRPr="009F2754">
        <w:t xml:space="preserve"> at high risk of opioid-induced morbidity or mortality, based on factors and combinations of factors such as </w:t>
      </w:r>
      <w:hyperlink w:anchor="_Medical_and_behavioral" w:history="1">
        <w:r w:rsidRPr="00C772CF">
          <w:rPr>
            <w:rStyle w:val="Hyperlink"/>
          </w:rPr>
          <w:t>medical and behavioral comorbidities</w:t>
        </w:r>
      </w:hyperlink>
      <w:r w:rsidRPr="009F2754">
        <w:t>, polypharmacy, </w:t>
      </w:r>
      <w:r w:rsidRPr="007C3146">
        <w:t xml:space="preserve">current </w:t>
      </w:r>
      <w:hyperlink w:anchor="_Substance_use_disorder" w:history="1">
        <w:r w:rsidRPr="00E16BC8">
          <w:rPr>
            <w:rStyle w:val="Hyperlink"/>
          </w:rPr>
          <w:t>substance use disorder or abuse</w:t>
        </w:r>
      </w:hyperlink>
      <w:r w:rsidRPr="007C3146">
        <w:t xml:space="preserve">, </w:t>
      </w:r>
      <w:hyperlink w:anchor="_Aberrant_Behaviors" w:history="1">
        <w:r w:rsidRPr="00E16BC8">
          <w:rPr>
            <w:rStyle w:val="Hyperlink"/>
          </w:rPr>
          <w:t>aberrant behavior</w:t>
        </w:r>
      </w:hyperlink>
      <w:r w:rsidRPr="007C3146">
        <w:t xml:space="preserve">, </w:t>
      </w:r>
      <w:hyperlink w:anchor="_Dose_of_opioids" w:history="1">
        <w:r w:rsidRPr="00E16BC8">
          <w:rPr>
            <w:rStyle w:val="Hyperlink"/>
          </w:rPr>
          <w:t>dose of opioids</w:t>
        </w:r>
      </w:hyperlink>
      <w:r w:rsidRPr="007C3146">
        <w:t xml:space="preserve">, or the use of </w:t>
      </w:r>
      <w:hyperlink w:anchor="_Use_of_any" w:history="1">
        <w:r w:rsidRPr="00C772CF">
          <w:rPr>
            <w:rStyle w:val="Hyperlink"/>
          </w:rPr>
          <w:t xml:space="preserve">any concurrent </w:t>
        </w:r>
        <w:r>
          <w:rPr>
            <w:rStyle w:val="Hyperlink"/>
          </w:rPr>
          <w:t>sedatives</w:t>
        </w:r>
      </w:hyperlink>
      <w:r w:rsidRPr="009F2754">
        <w:t>.</w:t>
      </w:r>
      <w:r>
        <w:t xml:space="preserve"> Any patient using &gt;90 MED per day is considered high risk.</w:t>
      </w:r>
    </w:p>
    <w:p w14:paraId="32D9B73C" w14:textId="77777777" w:rsidR="00D07F32" w:rsidRPr="009F2754" w:rsidRDefault="00D07F32" w:rsidP="00D07F32">
      <w:pPr>
        <w:pStyle w:val="Bullet"/>
      </w:pPr>
      <w:r>
        <w:rPr>
          <w:b/>
        </w:rPr>
        <w:t xml:space="preserve">Moderate </w:t>
      </w:r>
      <w:r w:rsidRPr="00A56059">
        <w:rPr>
          <w:b/>
        </w:rPr>
        <w:t>risk</w:t>
      </w:r>
      <w:r>
        <w:t>:</w:t>
      </w:r>
      <w:r w:rsidRPr="009F2754">
        <w:t xml:space="preserve"> </w:t>
      </w:r>
      <w:r>
        <w:t xml:space="preserve">This includes </w:t>
      </w:r>
      <w:r w:rsidRPr="009F2754">
        <w:t>patient</w:t>
      </w:r>
      <w:r>
        <w:t>s</w:t>
      </w:r>
      <w:r w:rsidRPr="009F2754">
        <w:t xml:space="preserve"> at moderate risk of opioid-induced morbidity or mortality, based on factors and combinations of factors such as medical and behavioral comorbidities, polypharmacy, </w:t>
      </w:r>
      <w:r w:rsidRPr="007C3146">
        <w:t xml:space="preserve">history of substance use disorder or abuse, </w:t>
      </w:r>
      <w:r>
        <w:t xml:space="preserve">and </w:t>
      </w:r>
      <w:r w:rsidRPr="007C3146">
        <w:t>aberrant behavior.</w:t>
      </w:r>
      <w:r>
        <w:t xml:space="preserve"> In addition, any patient using </w:t>
      </w:r>
      <w:r w:rsidRPr="00BC65D5">
        <w:t>50-90</w:t>
      </w:r>
      <w:r>
        <w:t xml:space="preserve"> MED per day without other factors that increase their risk level is considered moderate risk.</w:t>
      </w:r>
    </w:p>
    <w:p w14:paraId="6557473F" w14:textId="77777777" w:rsidR="00D07F32" w:rsidRDefault="00D07F32" w:rsidP="00D07F32">
      <w:pPr>
        <w:pStyle w:val="Bullet"/>
      </w:pPr>
      <w:r w:rsidRPr="00A56059">
        <w:rPr>
          <w:b/>
        </w:rPr>
        <w:t>Low risk:</w:t>
      </w:r>
      <w:r w:rsidRPr="009F2754">
        <w:t xml:space="preserve"> </w:t>
      </w:r>
      <w:r>
        <w:t xml:space="preserve">This includes </w:t>
      </w:r>
      <w:r w:rsidRPr="009F2754">
        <w:t>patient</w:t>
      </w:r>
      <w:r>
        <w:t>s</w:t>
      </w:r>
      <w:r w:rsidRPr="009F2754">
        <w:t xml:space="preserve"> at low risk of opioid-induced morbidity or mortality, based on factors and combinations of factors such as medical and behavioral comorbidities, polypharmacy</w:t>
      </w:r>
      <w:r>
        <w:t>. Patients must use &lt;50 MED per day to qualify as low risk. However, some patients using &lt;50 MED per day may be at moderate or high risk, based on other risk factors.</w:t>
      </w:r>
    </w:p>
    <w:p w14:paraId="60551C8B" w14:textId="77777777" w:rsidR="00D07F32" w:rsidRPr="00D07F32" w:rsidRDefault="00D07F32" w:rsidP="00D07F32">
      <w:pPr>
        <w:pStyle w:val="BodyText"/>
      </w:pPr>
      <w:r w:rsidRPr="00D07F32">
        <w:t>It is the responsibility of the medical provider prescribing opioid medication to identify the risk level of each patient and vary their care based on risk.</w:t>
      </w:r>
    </w:p>
    <w:p w14:paraId="3C34E679" w14:textId="77777777" w:rsidR="00D07F32" w:rsidRDefault="00D07F32" w:rsidP="00D07F32">
      <w:pPr>
        <w:pStyle w:val="Heading2"/>
      </w:pPr>
      <w:r>
        <w:t>How to vary care based on risk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2610"/>
        <w:gridCol w:w="6593"/>
      </w:tblGrid>
      <w:tr w:rsidR="00D07F32" w:rsidRPr="00885501" w14:paraId="42DB72D6" w14:textId="77777777" w:rsidTr="00A3529B">
        <w:tc>
          <w:tcPr>
            <w:tcW w:w="1705" w:type="dxa"/>
            <w:shd w:val="clear" w:color="auto" w:fill="2F5496" w:themeFill="accent5" w:themeFillShade="BF"/>
          </w:tcPr>
          <w:p w14:paraId="547A91F6" w14:textId="77777777" w:rsidR="00D07F32" w:rsidRPr="00885501" w:rsidRDefault="00D07F32" w:rsidP="00A3529B">
            <w:pPr>
              <w:pStyle w:val="tablehead"/>
            </w:pPr>
            <w:r w:rsidRPr="00885501">
              <w:t>Risk Category</w:t>
            </w:r>
          </w:p>
        </w:tc>
        <w:tc>
          <w:tcPr>
            <w:tcW w:w="2610" w:type="dxa"/>
            <w:shd w:val="clear" w:color="auto" w:fill="2F5496" w:themeFill="accent5" w:themeFillShade="BF"/>
          </w:tcPr>
          <w:p w14:paraId="7D3E7AAE" w14:textId="77777777" w:rsidR="00D07F32" w:rsidRPr="00885501" w:rsidRDefault="00D07F32" w:rsidP="00A3529B">
            <w:pPr>
              <w:pStyle w:val="tablehead"/>
            </w:pPr>
            <w:r w:rsidRPr="00885501">
              <w:t>Frequency of monitoring</w:t>
            </w:r>
            <w:r>
              <w:t xml:space="preserve"> (visits, UDTs, PDMP checks)</w:t>
            </w:r>
          </w:p>
        </w:tc>
        <w:tc>
          <w:tcPr>
            <w:tcW w:w="6593" w:type="dxa"/>
            <w:shd w:val="clear" w:color="auto" w:fill="2F5496" w:themeFill="accent5" w:themeFillShade="BF"/>
          </w:tcPr>
          <w:p w14:paraId="60F57020" w14:textId="77777777" w:rsidR="00D07F32" w:rsidRPr="00885501" w:rsidRDefault="00D07F32" w:rsidP="00A3529B">
            <w:pPr>
              <w:pStyle w:val="tablehead"/>
            </w:pPr>
            <w:r w:rsidRPr="00885501">
              <w:t>Additional recommendations</w:t>
            </w:r>
          </w:p>
        </w:tc>
      </w:tr>
      <w:tr w:rsidR="00D07F32" w:rsidRPr="00885501" w14:paraId="2D749E5E" w14:textId="77777777" w:rsidTr="00A3529B">
        <w:tc>
          <w:tcPr>
            <w:tcW w:w="1705" w:type="dxa"/>
            <w:shd w:val="clear" w:color="auto" w:fill="D9E2F3" w:themeFill="accent5" w:themeFillTint="33"/>
          </w:tcPr>
          <w:p w14:paraId="77D15534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  <w:r w:rsidRPr="00885501">
              <w:rPr>
                <w:sz w:val="20"/>
                <w:szCs w:val="20"/>
              </w:rPr>
              <w:t>risk</w:t>
            </w:r>
          </w:p>
        </w:tc>
        <w:tc>
          <w:tcPr>
            <w:tcW w:w="2610" w:type="dxa"/>
          </w:tcPr>
          <w:p w14:paraId="34BEA773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 w:rsidRPr="00885501">
              <w:rPr>
                <w:sz w:val="20"/>
                <w:szCs w:val="20"/>
              </w:rPr>
              <w:t>Every 3 months</w:t>
            </w:r>
          </w:p>
        </w:tc>
        <w:tc>
          <w:tcPr>
            <w:tcW w:w="6593" w:type="dxa"/>
          </w:tcPr>
          <w:p w14:paraId="112AAE7D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 w:rsidRPr="00885501">
              <w:rPr>
                <w:sz w:val="20"/>
                <w:szCs w:val="20"/>
              </w:rPr>
              <w:t xml:space="preserve">Consider referring </w:t>
            </w:r>
            <w:r>
              <w:rPr>
                <w:sz w:val="20"/>
                <w:szCs w:val="20"/>
              </w:rPr>
              <w:t>to a pain specialist</w:t>
            </w:r>
            <w:r w:rsidRPr="00885501">
              <w:rPr>
                <w:sz w:val="20"/>
                <w:szCs w:val="20"/>
              </w:rPr>
              <w:t xml:space="preserve"> for additional evaluation and treatment needed to achieve treatment objectives. Confirm or provide a current prescription for naloxone when opioids are prescribed.</w:t>
            </w:r>
          </w:p>
        </w:tc>
      </w:tr>
      <w:tr w:rsidR="00D07F32" w:rsidRPr="00885501" w14:paraId="4022CFA9" w14:textId="77777777" w:rsidTr="00A3529B">
        <w:tc>
          <w:tcPr>
            <w:tcW w:w="1705" w:type="dxa"/>
            <w:shd w:val="clear" w:color="auto" w:fill="D9E2F3" w:themeFill="accent5" w:themeFillTint="33"/>
          </w:tcPr>
          <w:p w14:paraId="6DEC5563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 w:rsidRPr="00885501">
              <w:rPr>
                <w:sz w:val="20"/>
                <w:szCs w:val="20"/>
              </w:rPr>
              <w:t>Moderate</w:t>
            </w:r>
            <w:r>
              <w:rPr>
                <w:sz w:val="20"/>
                <w:szCs w:val="20"/>
              </w:rPr>
              <w:t xml:space="preserve"> </w:t>
            </w:r>
            <w:r w:rsidRPr="00885501">
              <w:rPr>
                <w:sz w:val="20"/>
                <w:szCs w:val="20"/>
              </w:rPr>
              <w:t>risk</w:t>
            </w:r>
          </w:p>
        </w:tc>
        <w:tc>
          <w:tcPr>
            <w:tcW w:w="2610" w:type="dxa"/>
          </w:tcPr>
          <w:p w14:paraId="1E949D9E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 w:rsidRPr="00885501">
              <w:rPr>
                <w:sz w:val="20"/>
                <w:szCs w:val="20"/>
              </w:rPr>
              <w:t>Twice a year</w:t>
            </w:r>
          </w:p>
        </w:tc>
        <w:tc>
          <w:tcPr>
            <w:tcW w:w="6593" w:type="dxa"/>
          </w:tcPr>
          <w:p w14:paraId="466F8A8B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885501">
              <w:rPr>
                <w:sz w:val="20"/>
                <w:szCs w:val="20"/>
              </w:rPr>
              <w:t xml:space="preserve">ncrease monitoring </w:t>
            </w:r>
            <w:r>
              <w:rPr>
                <w:sz w:val="20"/>
                <w:szCs w:val="20"/>
              </w:rPr>
              <w:t>if any evidence of</w:t>
            </w:r>
            <w:r w:rsidRPr="00885501">
              <w:rPr>
                <w:sz w:val="20"/>
                <w:szCs w:val="20"/>
              </w:rPr>
              <w:t xml:space="preserve"> aberrant behavior.</w:t>
            </w:r>
            <w:r>
              <w:rPr>
                <w:sz w:val="20"/>
                <w:szCs w:val="20"/>
              </w:rPr>
              <w:t xml:space="preserve"> </w:t>
            </w:r>
            <w:r w:rsidRPr="00885501">
              <w:rPr>
                <w:sz w:val="20"/>
                <w:szCs w:val="20"/>
              </w:rPr>
              <w:t>Confirm or provide a current prescription for naloxone when opioids are prescribed.</w:t>
            </w:r>
          </w:p>
        </w:tc>
      </w:tr>
      <w:tr w:rsidR="00D07F32" w:rsidRPr="00885501" w14:paraId="08AB6C97" w14:textId="77777777" w:rsidTr="00A3529B">
        <w:tc>
          <w:tcPr>
            <w:tcW w:w="1705" w:type="dxa"/>
            <w:shd w:val="clear" w:color="auto" w:fill="D9E2F3" w:themeFill="accent5" w:themeFillTint="33"/>
          </w:tcPr>
          <w:p w14:paraId="12856615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Low </w:t>
            </w:r>
            <w:r w:rsidRPr="00885501">
              <w:rPr>
                <w:sz w:val="20"/>
                <w:szCs w:val="20"/>
              </w:rPr>
              <w:t>risk</w:t>
            </w:r>
          </w:p>
        </w:tc>
        <w:tc>
          <w:tcPr>
            <w:tcW w:w="2610" w:type="dxa"/>
          </w:tcPr>
          <w:p w14:paraId="22A9E562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 w:rsidRPr="00885501">
              <w:rPr>
                <w:sz w:val="20"/>
                <w:szCs w:val="20"/>
              </w:rPr>
              <w:t>Once a year</w:t>
            </w:r>
          </w:p>
        </w:tc>
        <w:tc>
          <w:tcPr>
            <w:tcW w:w="6593" w:type="dxa"/>
          </w:tcPr>
          <w:p w14:paraId="6AD1AB74" w14:textId="77777777" w:rsidR="00D07F32" w:rsidRPr="00885501" w:rsidRDefault="00D07F32" w:rsidP="00A3529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Pr="00885501">
              <w:rPr>
                <w:sz w:val="20"/>
                <w:szCs w:val="20"/>
              </w:rPr>
              <w:t xml:space="preserve"> monitoring </w:t>
            </w:r>
            <w:r>
              <w:rPr>
                <w:sz w:val="20"/>
                <w:szCs w:val="20"/>
              </w:rPr>
              <w:t xml:space="preserve">if any evidence of </w:t>
            </w:r>
            <w:r w:rsidRPr="00885501">
              <w:rPr>
                <w:sz w:val="20"/>
                <w:szCs w:val="20"/>
              </w:rPr>
              <w:t>aberrant behavior.</w:t>
            </w:r>
          </w:p>
        </w:tc>
      </w:tr>
    </w:tbl>
    <w:p w14:paraId="3371A29D" w14:textId="77777777" w:rsidR="00D07F32" w:rsidRDefault="00D07F32" w:rsidP="00D07F32"/>
    <w:p w14:paraId="05158DF0" w14:textId="77777777" w:rsidR="00D07F32" w:rsidRDefault="00D07F32" w:rsidP="00D07F32">
      <w:pPr>
        <w:pStyle w:val="Heading2"/>
        <w:spacing w:after="0"/>
      </w:pPr>
      <w:bookmarkStart w:id="1" w:name="_How__to"/>
      <w:bookmarkStart w:id="2" w:name="_How_to_measure"/>
      <w:bookmarkEnd w:id="1"/>
      <w:bookmarkEnd w:id="2"/>
      <w:r>
        <w:t>How to measure risk</w:t>
      </w:r>
    </w:p>
    <w:p w14:paraId="26F2E6BD" w14:textId="77777777" w:rsidR="00D07F32" w:rsidRPr="006B3BD5" w:rsidRDefault="00D07F32" w:rsidP="00D07F32">
      <w:pPr>
        <w:pStyle w:val="BodyText"/>
        <w:rPr>
          <w:i/>
        </w:rPr>
      </w:pPr>
      <w:r w:rsidRPr="006B3BD5">
        <w:rPr>
          <w:i/>
        </w:rPr>
        <w:t xml:space="preserve">Below are suggested approaches to measuring </w:t>
      </w:r>
      <w:r>
        <w:rPr>
          <w:i/>
        </w:rPr>
        <w:t xml:space="preserve">different types of </w:t>
      </w:r>
      <w:r w:rsidRPr="006B3BD5">
        <w:rPr>
          <w:i/>
        </w:rPr>
        <w:t>risks along with links to the tools.</w:t>
      </w:r>
    </w:p>
    <w:p w14:paraId="4F8A9D20" w14:textId="77777777" w:rsidR="00D07F32" w:rsidRPr="00D07F32" w:rsidRDefault="00D07F32" w:rsidP="00D07F32">
      <w:pPr>
        <w:pStyle w:val="BodyText"/>
      </w:pPr>
      <w:bookmarkStart w:id="3" w:name="_Substance_use_disorder"/>
      <w:bookmarkStart w:id="4" w:name="_Medical_and_behavioral"/>
      <w:bookmarkEnd w:id="3"/>
      <w:bookmarkEnd w:id="4"/>
      <w:r w:rsidRPr="00D07F32">
        <w:t xml:space="preserve">Risk factors for </w:t>
      </w:r>
      <w:r w:rsidRPr="00D07F32">
        <w:rPr>
          <w:rStyle w:val="Strong"/>
        </w:rPr>
        <w:t>opioid-induced morbidity or mortality</w:t>
      </w:r>
      <w:r w:rsidRPr="00D07F32">
        <w:t xml:space="preserve"> include </w:t>
      </w:r>
      <w:hyperlink w:anchor="_Medical_and_behavioral" w:history="1">
        <w:r w:rsidRPr="00D07F32">
          <w:rPr>
            <w:rStyle w:val="Hyperlink"/>
          </w:rPr>
          <w:t>medical and behavioral comorbidities</w:t>
        </w:r>
      </w:hyperlink>
      <w:r w:rsidRPr="00D07F32">
        <w:t xml:space="preserve">, polypharmacy, current </w:t>
      </w:r>
      <w:hyperlink w:anchor="_Substance_use_disorder" w:history="1">
        <w:r w:rsidRPr="00D07F32">
          <w:rPr>
            <w:rStyle w:val="Hyperlink"/>
          </w:rPr>
          <w:t>substance use disorder or abuse</w:t>
        </w:r>
      </w:hyperlink>
      <w:r w:rsidRPr="00D07F32">
        <w:t xml:space="preserve">, </w:t>
      </w:r>
      <w:hyperlink w:anchor="_Aberrant_Behaviors" w:history="1">
        <w:r w:rsidRPr="00D07F32">
          <w:rPr>
            <w:rStyle w:val="Hyperlink"/>
          </w:rPr>
          <w:t>aberrant behavior</w:t>
        </w:r>
      </w:hyperlink>
      <w:r w:rsidRPr="00D07F32">
        <w:t xml:space="preserve">, </w:t>
      </w:r>
      <w:hyperlink w:anchor="_Dose_of_opioids" w:history="1">
        <w:r w:rsidRPr="00D07F32">
          <w:rPr>
            <w:rStyle w:val="Hyperlink"/>
          </w:rPr>
          <w:t>dose of opioids</w:t>
        </w:r>
      </w:hyperlink>
      <w:r w:rsidRPr="00D07F32">
        <w:t xml:space="preserve">, or the use of </w:t>
      </w:r>
      <w:hyperlink w:anchor="_Use_of_any" w:history="1">
        <w:r w:rsidRPr="00D07F32">
          <w:rPr>
            <w:rStyle w:val="Hyperlink"/>
          </w:rPr>
          <w:t>any concurrent sedatives</w:t>
        </w:r>
      </w:hyperlink>
      <w:r w:rsidRPr="00D07F32">
        <w:t>. Any patient using &gt;90 MED per day is considered high risk.</w:t>
      </w:r>
    </w:p>
    <w:p w14:paraId="13BAC4DF" w14:textId="77777777" w:rsidR="00D07F32" w:rsidRPr="00D07F32" w:rsidRDefault="00D07F32" w:rsidP="00D07F32">
      <w:pPr>
        <w:pStyle w:val="BodyText"/>
      </w:pPr>
      <w:r w:rsidRPr="00D07F32">
        <w:t xml:space="preserve">Risk factors for </w:t>
      </w:r>
      <w:r w:rsidRPr="00D07F32">
        <w:rPr>
          <w:rStyle w:val="Strong"/>
        </w:rPr>
        <w:t>overdose</w:t>
      </w:r>
      <w:r w:rsidRPr="00D07F32">
        <w:t xml:space="preserve"> include history of overdose, substance use disorder or abuse, sleep apnea, chronic lung disease, and use of any concurrent sedatives.</w:t>
      </w:r>
    </w:p>
    <w:p w14:paraId="7F1F563B" w14:textId="77777777" w:rsidR="00D07F32" w:rsidRDefault="00D07F32" w:rsidP="00D07F32">
      <w:pPr>
        <w:pStyle w:val="Heading3"/>
      </w:pPr>
      <w:r>
        <w:lastRenderedPageBreak/>
        <w:t>M</w:t>
      </w:r>
      <w:r w:rsidRPr="009F2754">
        <w:t>edical comorbidities</w:t>
      </w:r>
    </w:p>
    <w:p w14:paraId="703C109D" w14:textId="77777777" w:rsidR="00D07F32" w:rsidRDefault="00D07F32" w:rsidP="00D07F32">
      <w:pPr>
        <w:pStyle w:val="Bullet"/>
      </w:pPr>
      <w:r>
        <w:t xml:space="preserve">Sleep apnea, which can be screened for with </w:t>
      </w:r>
      <w:hyperlink r:id="rId7" w:history="1">
        <w:r w:rsidRPr="00C772CF">
          <w:rPr>
            <w:rStyle w:val="Hyperlink"/>
            <w:b/>
          </w:rPr>
          <w:t>STOPBang</w:t>
        </w:r>
      </w:hyperlink>
      <w:r>
        <w:t xml:space="preserve"> – an 8-item screener for sleep apnea.</w:t>
      </w:r>
    </w:p>
    <w:p w14:paraId="4B56488D" w14:textId="77777777" w:rsidR="00D07F32" w:rsidRDefault="00D07F32" w:rsidP="00D07F32">
      <w:pPr>
        <w:pStyle w:val="Bullet"/>
      </w:pPr>
      <w:r>
        <w:t>Chronic obstructive pulmonary disease (COPD)</w:t>
      </w:r>
    </w:p>
    <w:p w14:paraId="482A2A41" w14:textId="77777777" w:rsidR="00D07F32" w:rsidRDefault="00D07F32" w:rsidP="00D07F32">
      <w:pPr>
        <w:pStyle w:val="Bullet"/>
      </w:pPr>
      <w:r>
        <w:t>Fall risk</w:t>
      </w:r>
    </w:p>
    <w:p w14:paraId="14A3E212" w14:textId="77777777" w:rsidR="00D07F32" w:rsidRDefault="00D07F32" w:rsidP="00D07F32">
      <w:pPr>
        <w:pStyle w:val="Bullet"/>
      </w:pPr>
      <w:r>
        <w:t>Cognitive status</w:t>
      </w:r>
    </w:p>
    <w:p w14:paraId="6E2499F0" w14:textId="77777777" w:rsidR="00D07F32" w:rsidRDefault="00D07F32" w:rsidP="00D07F32">
      <w:pPr>
        <w:pStyle w:val="Bullet"/>
      </w:pPr>
      <w:r>
        <w:t>Pregnancy</w:t>
      </w:r>
    </w:p>
    <w:p w14:paraId="0D327E62" w14:textId="77777777" w:rsidR="00D07F32" w:rsidRDefault="00D07F32" w:rsidP="00D07F32">
      <w:pPr>
        <w:pStyle w:val="Bullet"/>
      </w:pPr>
      <w:r>
        <w:t>Age 65+</w:t>
      </w:r>
    </w:p>
    <w:p w14:paraId="6527222F" w14:textId="77777777" w:rsidR="00D07F32" w:rsidRDefault="00D07F32" w:rsidP="00D07F32">
      <w:pPr>
        <w:pStyle w:val="Heading3"/>
      </w:pPr>
      <w:r>
        <w:t xml:space="preserve">Behavioral comorbidities </w:t>
      </w:r>
    </w:p>
    <w:p w14:paraId="295741D6" w14:textId="77777777" w:rsidR="00D07F32" w:rsidRDefault="00D07F32" w:rsidP="00D07F32">
      <w:pPr>
        <w:pStyle w:val="Bullet"/>
      </w:pPr>
      <w:r>
        <w:t xml:space="preserve">Substance use misuse, disorder, or abuse (see tools </w:t>
      </w:r>
      <w:hyperlink w:anchor="_Substance_use_disorder_1" w:history="1">
        <w:r w:rsidRPr="00393742">
          <w:rPr>
            <w:rStyle w:val="Hyperlink"/>
          </w:rPr>
          <w:t>below</w:t>
        </w:r>
      </w:hyperlink>
      <w:r>
        <w:t>)</w:t>
      </w:r>
    </w:p>
    <w:p w14:paraId="138583A4" w14:textId="77777777" w:rsidR="00D07F32" w:rsidRDefault="00D07F32" w:rsidP="00D07F32">
      <w:pPr>
        <w:pStyle w:val="Bullet"/>
      </w:pPr>
      <w:r>
        <w:t xml:space="preserve">Moderately severe or severe depression, which can be screened for initially with PHQ-4, then </w:t>
      </w:r>
      <w:hyperlink r:id="rId8" w:history="1">
        <w:r w:rsidRPr="00393742">
          <w:rPr>
            <w:rStyle w:val="Hyperlink"/>
          </w:rPr>
          <w:t>PHQ-9</w:t>
        </w:r>
      </w:hyperlink>
      <w:r>
        <w:t>.</w:t>
      </w:r>
    </w:p>
    <w:p w14:paraId="0417D657" w14:textId="77777777" w:rsidR="00D07F32" w:rsidRDefault="00D07F32" w:rsidP="00D07F32">
      <w:pPr>
        <w:pStyle w:val="Bullet"/>
      </w:pPr>
      <w:r>
        <w:t xml:space="preserve">Moderately severe or severe anxiety, which can be screened for initially with PHQ-4, then </w:t>
      </w:r>
      <w:hyperlink r:id="rId9" w:history="1">
        <w:r w:rsidRPr="00393742">
          <w:rPr>
            <w:rStyle w:val="Hyperlink"/>
          </w:rPr>
          <w:t>GAD-7</w:t>
        </w:r>
      </w:hyperlink>
      <w:r>
        <w:t>.</w:t>
      </w:r>
    </w:p>
    <w:p w14:paraId="21867E15" w14:textId="77777777" w:rsidR="00D07F32" w:rsidRDefault="00D07F32" w:rsidP="00D07F32">
      <w:pPr>
        <w:pStyle w:val="Bullet"/>
      </w:pPr>
      <w:r>
        <w:t xml:space="preserve">Post-traumatic stress disorder (PTSD), which can be screened for with the 4-item </w:t>
      </w:r>
      <w:hyperlink r:id="rId10" w:history="1">
        <w:r w:rsidRPr="009439D5">
          <w:rPr>
            <w:rStyle w:val="Hyperlink"/>
            <w:b/>
          </w:rPr>
          <w:t>PC-PTSD</w:t>
        </w:r>
      </w:hyperlink>
      <w:r>
        <w:t>: Primary Care PTSD Screen.</w:t>
      </w:r>
    </w:p>
    <w:p w14:paraId="3F9FA121" w14:textId="77777777" w:rsidR="00D07F32" w:rsidRDefault="00D07F32" w:rsidP="00D07F32">
      <w:pPr>
        <w:pStyle w:val="Bullet"/>
      </w:pPr>
      <w:r>
        <w:t>Suicide ideation</w:t>
      </w:r>
    </w:p>
    <w:p w14:paraId="69F53CFD" w14:textId="77777777" w:rsidR="00D07F32" w:rsidRDefault="00D07F32" w:rsidP="00D07F32">
      <w:pPr>
        <w:pStyle w:val="Bullet"/>
      </w:pPr>
      <w:r>
        <w:t>History of prior overdoses</w:t>
      </w:r>
    </w:p>
    <w:p w14:paraId="00319320" w14:textId="77777777" w:rsidR="00D07F32" w:rsidRDefault="00D07F32" w:rsidP="00D07F32">
      <w:pPr>
        <w:pStyle w:val="Heading3"/>
      </w:pPr>
      <w:bookmarkStart w:id="5" w:name="_Substance_use_disorder_1"/>
      <w:bookmarkStart w:id="6" w:name="_Substance_use_misuse,"/>
      <w:bookmarkEnd w:id="5"/>
      <w:bookmarkEnd w:id="6"/>
      <w:r>
        <w:t>Substance/opioid misuse, abuse, or disorder</w:t>
      </w:r>
    </w:p>
    <w:p w14:paraId="08E5E49B" w14:textId="77777777" w:rsidR="00D07F32" w:rsidRPr="00D07F32" w:rsidRDefault="00D07F32" w:rsidP="00D07F32">
      <w:pPr>
        <w:pStyle w:val="BodyText"/>
      </w:pPr>
      <w:r w:rsidRPr="00D07F32">
        <w:t>Each of the following tools has pros and cons. Select the tool/s that works best for you as a clinician.</w:t>
      </w:r>
    </w:p>
    <w:p w14:paraId="767FC7B4" w14:textId="77777777" w:rsidR="00D07F32" w:rsidRDefault="00D07F32" w:rsidP="00D07F32">
      <w:pPr>
        <w:pStyle w:val="Bullet"/>
      </w:pPr>
      <w:hyperlink r:id="rId11" w:history="1">
        <w:r w:rsidRPr="00BC4B6A">
          <w:rPr>
            <w:rStyle w:val="Hyperlink"/>
            <w:b/>
          </w:rPr>
          <w:t>ORT</w:t>
        </w:r>
      </w:hyperlink>
      <w:r>
        <w:t xml:space="preserve">: Opioid Risk Tool – a 10-item screening tool for predicting opioid misuse in patients using opioid therapy. </w:t>
      </w:r>
    </w:p>
    <w:p w14:paraId="1F1D31DB" w14:textId="77777777" w:rsidR="00D07F32" w:rsidRDefault="00D07F32" w:rsidP="00D07F32">
      <w:pPr>
        <w:pStyle w:val="Bullet"/>
      </w:pPr>
      <w:hyperlink r:id="rId12" w:history="1">
        <w:r>
          <w:rPr>
            <w:rStyle w:val="Hyperlink"/>
            <w:b/>
          </w:rPr>
          <w:t>SOAPP-r</w:t>
        </w:r>
      </w:hyperlink>
      <w:r>
        <w:t xml:space="preserve">: Screener and Opioid Assessment for Patients with Pain – a 14-item screening tool for predicting risk for developing problems among patients using long-term opioid therapy. </w:t>
      </w:r>
    </w:p>
    <w:p w14:paraId="3E0E5149" w14:textId="77777777" w:rsidR="00D07F32" w:rsidRDefault="00D07F32" w:rsidP="00D07F32">
      <w:pPr>
        <w:pStyle w:val="Bullet"/>
      </w:pPr>
      <w:hyperlink r:id="rId13" w:history="1">
        <w:r w:rsidRPr="00BC4B6A">
          <w:rPr>
            <w:rStyle w:val="Hyperlink"/>
            <w:b/>
          </w:rPr>
          <w:t>COMM</w:t>
        </w:r>
      </w:hyperlink>
      <w:r>
        <w:t xml:space="preserve">: Current Opioid Misuse Measure – a 17-item screening tool to help clinicians identify if a patient is exhibiting aberrant behaviors associated with misuse of opioid medications. </w:t>
      </w:r>
    </w:p>
    <w:p w14:paraId="4651363C" w14:textId="77777777" w:rsidR="00D07F32" w:rsidRDefault="00D07F32" w:rsidP="00D07F32">
      <w:pPr>
        <w:pStyle w:val="Bullet"/>
      </w:pPr>
      <w:hyperlink r:id="rId14" w:history="1">
        <w:r w:rsidRPr="00BC4B6A">
          <w:rPr>
            <w:rStyle w:val="Hyperlink"/>
            <w:b/>
          </w:rPr>
          <w:t>DAST-10</w:t>
        </w:r>
      </w:hyperlink>
      <w:r>
        <w:t>: The Drug Abuse Screening Test – a 10-item brief screening tool commonly used to assess for substance use, not including alcohol or tobacco in the past 12 months.</w:t>
      </w:r>
    </w:p>
    <w:p w14:paraId="349A7809" w14:textId="77777777" w:rsidR="00D07F32" w:rsidRDefault="00D07F32" w:rsidP="00D07F32">
      <w:pPr>
        <w:pStyle w:val="Bullet"/>
      </w:pPr>
      <w:hyperlink r:id="rId15" w:history="1">
        <w:r w:rsidRPr="00BC4B6A">
          <w:rPr>
            <w:rStyle w:val="Hyperlink"/>
            <w:b/>
          </w:rPr>
          <w:t>TAPS</w:t>
        </w:r>
      </w:hyperlink>
      <w:r w:rsidRPr="00BC4B6A">
        <w:t>:</w:t>
      </w:r>
      <w:r>
        <w:t xml:space="preserve"> The Tobacco, Alcohol, Prescription medications, and other Substance Tool – a 4-item screening tool to assess tobacco, alcohol, illicit drugs, and non-medical use of prescription medications.</w:t>
      </w:r>
    </w:p>
    <w:p w14:paraId="24FBBBC0" w14:textId="77777777" w:rsidR="00D07F32" w:rsidRDefault="00D07F32" w:rsidP="00D07F32">
      <w:pPr>
        <w:pStyle w:val="Bullet"/>
      </w:pPr>
      <w:hyperlink r:id="rId16" w:history="1">
        <w:r w:rsidRPr="005A476B">
          <w:rPr>
            <w:rStyle w:val="Hyperlink"/>
          </w:rPr>
          <w:t>DSM-5</w:t>
        </w:r>
      </w:hyperlink>
      <w:r>
        <w:t xml:space="preserve">: DSM-5 may be used to diagnose opioid use disorder, but be thoughtful in its use with patients on long-term opioid therapy. See the </w:t>
      </w:r>
      <w:hyperlink r:id="rId17" w:history="1">
        <w:r w:rsidRPr="002C0CB3">
          <w:rPr>
            <w:rStyle w:val="Hyperlink"/>
          </w:rPr>
          <w:t>CDC</w:t>
        </w:r>
      </w:hyperlink>
      <w:r>
        <w:t xml:space="preserve"> for more details.</w:t>
      </w:r>
    </w:p>
    <w:bookmarkStart w:id="7" w:name="_Aberrant_Behaviors"/>
    <w:bookmarkEnd w:id="7"/>
    <w:p w14:paraId="685E7D5A" w14:textId="77777777" w:rsidR="00D07F32" w:rsidRDefault="00D07F32" w:rsidP="00D07F32">
      <w:pPr>
        <w:pStyle w:val="Heading3"/>
      </w:pPr>
      <w:r>
        <w:fldChar w:fldCharType="begin"/>
      </w:r>
      <w:r>
        <w:instrText xml:space="preserve"> HYPERLINK "https://www.drugabuse.gov/sites/default/files/files/AberrantDrugTakingBehaviors.pdf" </w:instrText>
      </w:r>
      <w:r>
        <w:fldChar w:fldCharType="separate"/>
      </w:r>
      <w:r w:rsidRPr="00B7462D">
        <w:rPr>
          <w:rStyle w:val="Hyperlink"/>
        </w:rPr>
        <w:t>Aberrant behaviors</w:t>
      </w:r>
      <w:r>
        <w:fldChar w:fldCharType="end"/>
      </w:r>
      <w:r>
        <w:t xml:space="preserve"> </w:t>
      </w:r>
    </w:p>
    <w:p w14:paraId="0BFBE647" w14:textId="77777777" w:rsidR="00D07F32" w:rsidRDefault="00D07F32" w:rsidP="00D07F32">
      <w:pPr>
        <w:pStyle w:val="Bullet"/>
      </w:pPr>
      <w:r>
        <w:t>Resistance to changing opioid medications despite deterioration in function or significant negative effects</w:t>
      </w:r>
    </w:p>
    <w:p w14:paraId="59BDD994" w14:textId="77777777" w:rsidR="00D07F32" w:rsidRDefault="00D07F32" w:rsidP="00D07F32">
      <w:pPr>
        <w:pStyle w:val="Bullet"/>
      </w:pPr>
      <w:r>
        <w:t xml:space="preserve">Use of illegal drugs or controlled substances that are not prescribed for the patient (self-report or </w:t>
      </w:r>
      <w:hyperlink r:id="rId18" w:history="1">
        <w:r w:rsidRPr="00B7462D">
          <w:rPr>
            <w:rStyle w:val="Hyperlink"/>
            <w:b/>
          </w:rPr>
          <w:t>urine drug test</w:t>
        </w:r>
      </w:hyperlink>
      <w:r>
        <w:t>)</w:t>
      </w:r>
    </w:p>
    <w:p w14:paraId="6350EDE9" w14:textId="77777777" w:rsidR="00D07F32" w:rsidRDefault="00D07F32" w:rsidP="00D07F32">
      <w:pPr>
        <w:pStyle w:val="Bullet"/>
      </w:pPr>
      <w:r>
        <w:t>Behaviors suggesting loss of control over substance use or diversion, such as recurrent episodes of:</w:t>
      </w:r>
    </w:p>
    <w:p w14:paraId="32C3FA1B" w14:textId="77777777" w:rsidR="00D07F32" w:rsidRDefault="00D07F32" w:rsidP="00D07F32">
      <w:pPr>
        <w:pStyle w:val="Subbullet"/>
      </w:pPr>
      <w:r>
        <w:t>Prescription loss or theft</w:t>
      </w:r>
    </w:p>
    <w:p w14:paraId="235EBE51" w14:textId="77777777" w:rsidR="00D07F32" w:rsidRDefault="00D07F32" w:rsidP="00D07F32">
      <w:pPr>
        <w:pStyle w:val="Subbullet"/>
      </w:pPr>
      <w:r>
        <w:t xml:space="preserve">Obtaining opioids from other providers in violation of treatment agreement (identified through review of </w:t>
      </w:r>
      <w:hyperlink r:id="rId19" w:history="1">
        <w:r>
          <w:rPr>
            <w:rStyle w:val="Hyperlink"/>
            <w:b/>
          </w:rPr>
          <w:t>State Prescription Drug Monitoring Database Programs</w:t>
        </w:r>
      </w:hyperlink>
      <w:r>
        <w:t>)</w:t>
      </w:r>
    </w:p>
    <w:p w14:paraId="04B80178" w14:textId="77777777" w:rsidR="00D07F32" w:rsidRDefault="00D07F32" w:rsidP="00D07F32">
      <w:pPr>
        <w:pStyle w:val="Subbullet"/>
      </w:pPr>
      <w:r>
        <w:t>Increases in dosing without provider’s instruction (self-report)</w:t>
      </w:r>
    </w:p>
    <w:p w14:paraId="221D1C7B" w14:textId="77777777" w:rsidR="00D07F32" w:rsidRDefault="00D07F32" w:rsidP="00D07F32">
      <w:pPr>
        <w:pStyle w:val="Subbullet"/>
      </w:pPr>
      <w:r>
        <w:t>Running short with medication supply and requests for early refills</w:t>
      </w:r>
    </w:p>
    <w:p w14:paraId="51DA63E3" w14:textId="77777777" w:rsidR="00D07F32" w:rsidRDefault="00D07F32" w:rsidP="00D07F32">
      <w:pPr>
        <w:pStyle w:val="Heading3"/>
      </w:pPr>
      <w:bookmarkStart w:id="8" w:name="_Dose_of_opioids"/>
      <w:bookmarkStart w:id="9" w:name="_Medications_taken/dose"/>
      <w:bookmarkEnd w:id="8"/>
      <w:bookmarkEnd w:id="9"/>
      <w:r>
        <w:t>Medications taken/dose</w:t>
      </w:r>
    </w:p>
    <w:p w14:paraId="4236E710" w14:textId="77777777" w:rsidR="00D07F32" w:rsidRPr="00E16BC8" w:rsidRDefault="00D07F32" w:rsidP="00D07F32">
      <w:pPr>
        <w:pStyle w:val="Bullet"/>
      </w:pPr>
      <w:hyperlink r:id="rId20" w:history="1">
        <w:r w:rsidRPr="00E16BC8">
          <w:rPr>
            <w:rStyle w:val="Hyperlink"/>
            <w:b/>
          </w:rPr>
          <w:t>Morphine Equivalent Dose (MED) calculator</w:t>
        </w:r>
      </w:hyperlink>
    </w:p>
    <w:p w14:paraId="4F4B245B" w14:textId="77777777" w:rsidR="00D07F32" w:rsidRPr="00E16BC8" w:rsidRDefault="00D07F32" w:rsidP="00D07F32">
      <w:pPr>
        <w:pStyle w:val="Bullet"/>
      </w:pPr>
      <w:hyperlink r:id="rId21" w:history="1">
        <w:r w:rsidRPr="00E16BC8">
          <w:rPr>
            <w:rStyle w:val="Hyperlink"/>
            <w:b/>
          </w:rPr>
          <w:t>State Prescription</w:t>
        </w:r>
        <w:r>
          <w:rPr>
            <w:rStyle w:val="Hyperlink"/>
            <w:b/>
          </w:rPr>
          <w:t xml:space="preserve"> Drug</w:t>
        </w:r>
        <w:r w:rsidRPr="00E16BC8">
          <w:rPr>
            <w:rStyle w:val="Hyperlink"/>
            <w:b/>
          </w:rPr>
          <w:t xml:space="preserve"> Monitoring Database Programs</w:t>
        </w:r>
      </w:hyperlink>
    </w:p>
    <w:p w14:paraId="10BEA535" w14:textId="77777777" w:rsidR="00D07F32" w:rsidRDefault="00D07F32" w:rsidP="00D07F32">
      <w:pPr>
        <w:pStyle w:val="Heading3"/>
      </w:pPr>
      <w:bookmarkStart w:id="10" w:name="_Use_of_any"/>
      <w:bookmarkEnd w:id="10"/>
      <w:r>
        <w:t>U</w:t>
      </w:r>
      <w:r w:rsidRPr="007C3146">
        <w:t xml:space="preserve">se of any concurrent </w:t>
      </w:r>
      <w:r>
        <w:t>sedatives</w:t>
      </w:r>
    </w:p>
    <w:p w14:paraId="7CD4962D" w14:textId="77777777" w:rsidR="00D07F32" w:rsidRDefault="00D07F32" w:rsidP="00D07F32">
      <w:pPr>
        <w:pStyle w:val="Bullet"/>
      </w:pPr>
      <w:hyperlink r:id="rId22" w:history="1">
        <w:r w:rsidRPr="00E16BC8">
          <w:rPr>
            <w:rStyle w:val="Hyperlink"/>
            <w:b/>
          </w:rPr>
          <w:t>Sedatives list</w:t>
        </w:r>
      </w:hyperlink>
      <w:r>
        <w:t xml:space="preserve">: </w:t>
      </w:r>
      <w:r w:rsidRPr="00E16BC8">
        <w:t>A list of sedatives to use in identifying patients on concurrent sedatives and opioids.</w:t>
      </w:r>
    </w:p>
    <w:p w14:paraId="029237D5" w14:textId="77777777" w:rsidR="00E33FAA" w:rsidRDefault="00E33FAA"/>
    <w:sectPr w:rsidR="00E33FAA" w:rsidSect="00D07F32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E3B8" w14:textId="77777777" w:rsidR="00D07F32" w:rsidRDefault="00D07F32" w:rsidP="00D07F32">
      <w:pPr>
        <w:spacing w:after="0" w:line="240" w:lineRule="auto"/>
      </w:pPr>
      <w:r>
        <w:separator/>
      </w:r>
    </w:p>
  </w:endnote>
  <w:endnote w:type="continuationSeparator" w:id="0">
    <w:p w14:paraId="6C706861" w14:textId="77777777" w:rsidR="00D07F32" w:rsidRDefault="00D07F32" w:rsidP="00D0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0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40EA6" w14:textId="77777777" w:rsidR="00951A45" w:rsidRDefault="004969B4" w:rsidP="003250A0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6689EE7E" wp14:editId="548F46E4">
              <wp:simplePos x="0" y="0"/>
              <wp:positionH relativeFrom="margin">
                <wp:posOffset>5233035</wp:posOffset>
              </wp:positionH>
              <wp:positionV relativeFrom="page">
                <wp:posOffset>9176385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7" name="Picture 7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179F8C72" wp14:editId="5EDBAF4E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0D2BB3C" w14:textId="77777777" w:rsidR="00951A45" w:rsidRPr="007E5239" w:rsidRDefault="004969B4" w:rsidP="003250A0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</w:t>
        </w:r>
        <w:r w:rsidR="00D07F32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RISK </w:t>
        </w:r>
        <w:proofErr w:type="gramStart"/>
        <w:r w:rsidR="00D07F32">
          <w:rPr>
            <w:rFonts w:cs="Times New Roman (Body CS)"/>
            <w:color w:val="000000" w:themeColor="text1"/>
            <w:sz w:val="16"/>
            <w:szCs w:val="16"/>
            <w14:numForm w14:val="lining"/>
          </w:rPr>
          <w:t>STRATIFICATION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2019.05.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23</w:t>
        </w:r>
      </w:p>
      <w:p w14:paraId="5F65F132" w14:textId="77777777" w:rsidR="00951A45" w:rsidRDefault="004969B4" w:rsidP="003250A0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64E2E381" w14:textId="04FDAB49" w:rsidR="00951A45" w:rsidRPr="003250A0" w:rsidRDefault="004969B4" w:rsidP="00325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B1983" w14:textId="77777777" w:rsidR="00D07F32" w:rsidRDefault="00D07F32" w:rsidP="00D07F32">
      <w:pPr>
        <w:spacing w:after="0" w:line="240" w:lineRule="auto"/>
      </w:pPr>
      <w:r>
        <w:separator/>
      </w:r>
    </w:p>
  </w:footnote>
  <w:footnote w:type="continuationSeparator" w:id="0">
    <w:p w14:paraId="32EB570E" w14:textId="77777777" w:rsidR="00D07F32" w:rsidRDefault="00D07F32" w:rsidP="00D0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B14DF"/>
    <w:multiLevelType w:val="multilevel"/>
    <w:tmpl w:val="A8F66226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attachedTemplate r:id="rId1"/>
  <w:linkStyl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2"/>
    <w:rsid w:val="004969B4"/>
    <w:rsid w:val="007D2559"/>
    <w:rsid w:val="00D07F32"/>
    <w:rsid w:val="00E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1E86"/>
  <w15:chartTrackingRefBased/>
  <w15:docId w15:val="{5DA20E7E-487D-400F-B9BC-9E2F9322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B4"/>
  </w:style>
  <w:style w:type="paragraph" w:styleId="Heading1">
    <w:name w:val="heading 1"/>
    <w:next w:val="BodyText"/>
    <w:link w:val="Heading1Char"/>
    <w:uiPriority w:val="9"/>
    <w:qFormat/>
    <w:rsid w:val="004969B4"/>
    <w:pPr>
      <w:keepNext/>
      <w:keepLines/>
      <w:pBdr>
        <w:top w:val="thinThickSmallGap" w:sz="24" w:space="1" w:color="FFC000" w:themeColor="accent4"/>
      </w:pBdr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4969B4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4969B4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4969B4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4969B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69B4"/>
  </w:style>
  <w:style w:type="character" w:customStyle="1" w:styleId="Heading1Char">
    <w:name w:val="Heading 1 Char"/>
    <w:basedOn w:val="DefaultParagraphFont"/>
    <w:link w:val="Heading1"/>
    <w:uiPriority w:val="9"/>
    <w:rsid w:val="004969B4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link w:val="BodyTextChar"/>
    <w:uiPriority w:val="1"/>
    <w:qFormat/>
    <w:rsid w:val="004969B4"/>
    <w:pPr>
      <w:spacing w:after="240" w:line="260" w:lineRule="atLeast"/>
    </w:pPr>
    <w:rPr>
      <w:rFonts w:ascii="Corbel" w:eastAsia="Calibri" w:hAnsi="Corbel" w:cs="Calibri"/>
      <w:sz w:val="20"/>
      <w:szCs w:val="20"/>
      <w14:numForm w14:val="lining"/>
    </w:rPr>
  </w:style>
  <w:style w:type="character" w:customStyle="1" w:styleId="BodyTextChar">
    <w:name w:val="Body Text Char"/>
    <w:basedOn w:val="DefaultParagraphFont"/>
    <w:link w:val="BodyText"/>
    <w:uiPriority w:val="1"/>
    <w:rsid w:val="004969B4"/>
    <w:rPr>
      <w:rFonts w:ascii="Corbel" w:eastAsia="Calibri" w:hAnsi="Corbel" w:cs="Calibri"/>
      <w:sz w:val="20"/>
      <w:szCs w:val="20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rsid w:val="004969B4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customStyle="1" w:styleId="Quote">
    <w:name w:val="&quot;Quote&quot;"/>
    <w:qFormat/>
    <w:rsid w:val="004969B4"/>
    <w:pPr>
      <w:pBdr>
        <w:left w:val="single" w:sz="48" w:space="13" w:color="F2BC41"/>
      </w:pBdr>
      <w:spacing w:before="240" w:after="240" w:line="240" w:lineRule="atLeast"/>
      <w:ind w:right="547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69B4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B4"/>
  </w:style>
  <w:style w:type="paragraph" w:styleId="Footer">
    <w:name w:val="footer"/>
    <w:basedOn w:val="Normal"/>
    <w:link w:val="FooterChar"/>
    <w:uiPriority w:val="99"/>
    <w:unhideWhenUsed/>
    <w:rsid w:val="0049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B4"/>
  </w:style>
  <w:style w:type="character" w:styleId="Strong">
    <w:name w:val="Strong"/>
    <w:basedOn w:val="DefaultParagraphFont"/>
    <w:uiPriority w:val="22"/>
    <w:qFormat/>
    <w:rsid w:val="00D07F32"/>
    <w:rPr>
      <w:b/>
      <w:bCs/>
      <w:color w:val="0070C0"/>
    </w:rPr>
  </w:style>
  <w:style w:type="character" w:styleId="Hyperlink">
    <w:name w:val="Hyperlink"/>
    <w:basedOn w:val="DefaultParagraphFont"/>
    <w:uiPriority w:val="99"/>
    <w:unhideWhenUsed/>
    <w:qFormat/>
    <w:rsid w:val="004969B4"/>
    <w:rPr>
      <w:color w:val="404040" w:themeColor="text1" w:themeTint="BF"/>
      <w:u w:val="dotted"/>
    </w:rPr>
  </w:style>
  <w:style w:type="table" w:styleId="TableGrid">
    <w:name w:val="Table Grid"/>
    <w:basedOn w:val="TableNormal"/>
    <w:uiPriority w:val="39"/>
    <w:rsid w:val="0049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BodyText"/>
    <w:qFormat/>
    <w:rsid w:val="004969B4"/>
    <w:pPr>
      <w:numPr>
        <w:numId w:val="1"/>
      </w:numPr>
      <w:spacing w:after="120"/>
      <w:ind w:left="245" w:hanging="245"/>
      <w:contextualSpacing/>
    </w:pPr>
    <w:rPr>
      <w:color w:val="000000" w:themeColor="text1"/>
    </w:rPr>
  </w:style>
  <w:style w:type="paragraph" w:customStyle="1" w:styleId="Subbullet">
    <w:name w:val="Subbullet"/>
    <w:basedOn w:val="Bullet"/>
    <w:qFormat/>
    <w:rsid w:val="004969B4"/>
    <w:pPr>
      <w:numPr>
        <w:numId w:val="2"/>
      </w:numPr>
      <w:spacing w:line="240" w:lineRule="atLeast"/>
      <w:ind w:left="576" w:hanging="288"/>
    </w:pPr>
  </w:style>
  <w:style w:type="paragraph" w:customStyle="1" w:styleId="TableParagraph">
    <w:name w:val="Table Paragraph"/>
    <w:uiPriority w:val="99"/>
    <w:qFormat/>
    <w:rsid w:val="004969B4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">
    <w:name w:val="table head"/>
    <w:basedOn w:val="Normal"/>
    <w:uiPriority w:val="99"/>
    <w:rsid w:val="004969B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character" w:customStyle="1" w:styleId="Heading4Char">
    <w:name w:val="Heading 4 Char"/>
    <w:basedOn w:val="DefaultParagraphFont"/>
    <w:link w:val="Heading4"/>
    <w:uiPriority w:val="9"/>
    <w:rsid w:val="004969B4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9B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3withcheckbox">
    <w:name w:val="Heading 3 with checkbox"/>
    <w:basedOn w:val="Heading3"/>
    <w:rsid w:val="004969B4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Number">
    <w:name w:val="Number"/>
    <w:basedOn w:val="BodyText"/>
    <w:qFormat/>
    <w:rsid w:val="004969B4"/>
    <w:pPr>
      <w:numPr>
        <w:numId w:val="3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4969B4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4969B4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 w:line="240" w:lineRule="auto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table" w:styleId="PlainTable1">
    <w:name w:val="Plain Table 1"/>
    <w:basedOn w:val="TableNormal"/>
    <w:uiPriority w:val="41"/>
    <w:rsid w:val="004969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er">
    <w:name w:val="Table header"/>
    <w:basedOn w:val="Normal"/>
    <w:uiPriority w:val="99"/>
    <w:rsid w:val="004969B4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Endofdocument">
    <w:name w:val="End of document"/>
    <w:basedOn w:val="Normal"/>
    <w:qFormat/>
    <w:rsid w:val="004969B4"/>
    <w:pPr>
      <w:spacing w:before="120" w:after="120" w:line="240" w:lineRule="auto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4969B4"/>
    <w:pPr>
      <w:spacing w:after="0" w:line="240" w:lineRule="auto"/>
    </w:pPr>
    <w:rPr>
      <w:i/>
      <w:color w:val="323E4F" w:themeColor="text2" w:themeShade="BF"/>
    </w:rPr>
  </w:style>
  <w:style w:type="character" w:styleId="Emphasis">
    <w:name w:val="Emphasis"/>
    <w:basedOn w:val="DefaultParagraphFont"/>
    <w:uiPriority w:val="20"/>
    <w:qFormat/>
    <w:rsid w:val="004969B4"/>
    <w:rPr>
      <w:i/>
      <w:iCs/>
    </w:rPr>
  </w:style>
  <w:style w:type="paragraph" w:customStyle="1" w:styleId="Tablenumber">
    <w:name w:val="Table number"/>
    <w:basedOn w:val="Number"/>
    <w:qFormat/>
    <w:rsid w:val="004969B4"/>
    <w:pPr>
      <w:numPr>
        <w:numId w:val="4"/>
      </w:numPr>
      <w:spacing w:line="259" w:lineRule="auto"/>
      <w:ind w:left="245" w:hanging="245"/>
    </w:pPr>
    <w:rPr>
      <w:rFonts w:eastAsiaTheme="minorHAnsi" w:cstheme="minorBidi"/>
      <w:color w:val="000000" w:themeColor="text1"/>
      <w:sz w:val="18"/>
      <w:szCs w:val="2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ovingopioidcare.org/wp-content/uploads/2018/02/Patient-Health-Questionnaire.pdf" TargetMode="External"/><Relationship Id="rId13" Type="http://schemas.openxmlformats.org/officeDocument/2006/relationships/hyperlink" Target="https://depts.washington.edu/fammed/sixbuildingblocks/wp-content/uploads/sites/12/2018/02/Current-Opioid-Misuse-Measure.pdf" TargetMode="External"/><Relationship Id="rId18" Type="http://schemas.openxmlformats.org/officeDocument/2006/relationships/hyperlink" Target="https://www.improvingopioidcare.org/wp-content/uploads/2018/10/CDC-DUIP-UrineDrugTesting_FactSheet-50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dmpassist.org/content/state-pdmp-websites" TargetMode="External"/><Relationship Id="rId7" Type="http://schemas.openxmlformats.org/officeDocument/2006/relationships/hyperlink" Target="http://www.stopbang.ca/osa/screening.php" TargetMode="External"/><Relationship Id="rId12" Type="http://schemas.openxmlformats.org/officeDocument/2006/relationships/hyperlink" Target="https://www.oregonpainguidance.org/app/content/uploads/2016/05/SOAPP-R.pdf" TargetMode="External"/><Relationship Id="rId17" Type="http://schemas.openxmlformats.org/officeDocument/2006/relationships/hyperlink" Target="https://www.cdc.gov/drugoverdose/training/oud/accessible/index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dc.gov/drugoverdose/training/oud/accessible/index.html" TargetMode="External"/><Relationship Id="rId20" Type="http://schemas.openxmlformats.org/officeDocument/2006/relationships/hyperlink" Target="https://www.cdc.gov/drugoverdose/prescribing/ap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ts.washington.edu/fammed/sixbuildingblocks/wp-content/uploads/sites/12/2018/02/Opioid_Risk_Tool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de.drugabuse.gov/instrument/29b23e2e-e266-f095-e050-bb89ad43472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mprovingopioidcare.org/wp-content/uploads/2018/02/PC-PTSD.pdf" TargetMode="External"/><Relationship Id="rId19" Type="http://schemas.openxmlformats.org/officeDocument/2006/relationships/hyperlink" Target="http://www.pdmpassist.org/content/state-pdmp-web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rovingopioidcare.org/wp-content/uploads/2018/02/GAD-7.pdf" TargetMode="External"/><Relationship Id="rId14" Type="http://schemas.openxmlformats.org/officeDocument/2006/relationships/hyperlink" Target="https://www.hca.wa.gov/assets/billers-and-providers/sbirt-screening-dast-en.docx" TargetMode="External"/><Relationship Id="rId22" Type="http://schemas.openxmlformats.org/officeDocument/2006/relationships/hyperlink" Target="https://depts.washington.edu/fammed/sixbuildingblocks/wp-content/uploads/sites/12/2018/02/List-of-sedatives-names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wnetid-my.sharepoint.com/personal/katieost_uw_edu/Documents/Six%20Building%20Blocks/Toolkit/Word%20Template/6BB%20Toolk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6BB%20Toolkit</Template>
  <TotalTime>6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2</cp:revision>
  <dcterms:created xsi:type="dcterms:W3CDTF">2019-05-24T03:20:00Z</dcterms:created>
  <dcterms:modified xsi:type="dcterms:W3CDTF">2019-05-24T03:26:00Z</dcterms:modified>
</cp:coreProperties>
</file>