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ECB1B" w14:textId="77777777" w:rsidR="00811985" w:rsidRDefault="00E13850" w:rsidP="00811985">
      <w:pPr>
        <w:pStyle w:val="Title"/>
      </w:pPr>
      <w:r w:rsidRPr="00DC3DD0">
        <w:rPr>
          <w:noProof/>
        </w:rPr>
        <w:drawing>
          <wp:anchor distT="0" distB="0" distL="114300" distR="114300" simplePos="0" relativeHeight="251658240" behindDoc="1" locked="0" layoutInCell="1" allowOverlap="1" wp14:anchorId="189ECB2C" wp14:editId="189ECB2D">
            <wp:simplePos x="0" y="0"/>
            <wp:positionH relativeFrom="column">
              <wp:posOffset>0</wp:posOffset>
            </wp:positionH>
            <wp:positionV relativeFrom="paragraph">
              <wp:posOffset>0</wp:posOffset>
            </wp:positionV>
            <wp:extent cx="1691640" cy="1060704"/>
            <wp:effectExtent l="0" t="0" r="3810" b="6350"/>
            <wp:wrapTight wrapText="bothSides">
              <wp:wrapPolygon edited="0">
                <wp:start x="0" y="0"/>
                <wp:lineTo x="0" y="21341"/>
                <wp:lineTo x="21405" y="21341"/>
                <wp:lineTo x="214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6332" b="24138"/>
                    <a:stretch/>
                  </pic:blipFill>
                  <pic:spPr>
                    <a:xfrm>
                      <a:off x="0" y="0"/>
                      <a:ext cx="1691640" cy="1060704"/>
                    </a:xfrm>
                    <a:prstGeom prst="rect">
                      <a:avLst/>
                    </a:prstGeom>
                  </pic:spPr>
                </pic:pic>
              </a:graphicData>
            </a:graphic>
          </wp:anchor>
        </w:drawing>
      </w:r>
      <w:r w:rsidR="00811985">
        <w:t>Six Building Blocks Website</w:t>
      </w:r>
    </w:p>
    <w:p w14:paraId="189ECB1C" w14:textId="77777777" w:rsidR="00811985" w:rsidRDefault="00AC7E1E" w:rsidP="00811985">
      <w:pPr>
        <w:pStyle w:val="Subtitle"/>
      </w:pPr>
      <w:hyperlink r:id="rId8" w:history="1">
        <w:r w:rsidR="00811985" w:rsidRPr="00C85D64">
          <w:rPr>
            <w:rStyle w:val="Hyperlink"/>
          </w:rPr>
          <w:t>www.improvingopioidcare.org</w:t>
        </w:r>
      </w:hyperlink>
    </w:p>
    <w:p w14:paraId="189ECB1D" w14:textId="77777777" w:rsidR="00811985" w:rsidRDefault="00811985" w:rsidP="000969F5">
      <w:pPr>
        <w:pStyle w:val="BodyText"/>
      </w:pPr>
      <w:r>
        <w:t xml:space="preserve">We invite you to explore the Six Building Blocks website, including the “Helpful Resources” </w:t>
      </w:r>
      <w:r w:rsidR="00E13850">
        <w:t>tab with</w:t>
      </w:r>
      <w:r>
        <w:t xml:space="preserve"> </w:t>
      </w:r>
      <w:r w:rsidR="000969F5">
        <w:t>resources organized by Building Block as described below.</w:t>
      </w:r>
    </w:p>
    <w:p w14:paraId="189ECB1E" w14:textId="77777777" w:rsidR="00AA05B1" w:rsidRPr="00811985" w:rsidRDefault="00AA05B1" w:rsidP="000969F5">
      <w:pPr>
        <w:pStyle w:val="BodyText"/>
      </w:pPr>
    </w:p>
    <w:p w14:paraId="189ECB1F" w14:textId="77777777" w:rsidR="00811985" w:rsidRDefault="00811985" w:rsidP="00811985">
      <w:pPr>
        <w:shd w:val="clear" w:color="auto" w:fill="B1E4E9"/>
        <w:spacing w:after="100" w:afterAutospacing="1" w:line="240" w:lineRule="auto"/>
        <w:outlineLvl w:val="1"/>
        <w:rPr>
          <w:rFonts w:ascii="Arial" w:eastAsia="Times New Roman" w:hAnsi="Arial" w:cs="Arial"/>
          <w:b/>
          <w:bCs/>
          <w:color w:val="30577D"/>
          <w:sz w:val="30"/>
          <w:szCs w:val="30"/>
        </w:rPr>
      </w:pPr>
      <w:r w:rsidRPr="00811985">
        <w:rPr>
          <w:rFonts w:ascii="Arial" w:eastAsia="Times New Roman" w:hAnsi="Arial" w:cs="Arial"/>
          <w:b/>
          <w:bCs/>
          <w:color w:val="30577D"/>
          <w:sz w:val="30"/>
          <w:szCs w:val="30"/>
        </w:rPr>
        <w:t>Leadership &amp; Consensus resources</w:t>
      </w:r>
    </w:p>
    <w:p w14:paraId="189ECB20" w14:textId="77777777" w:rsidR="000969F5" w:rsidRPr="00811985" w:rsidRDefault="000969F5" w:rsidP="000969F5">
      <w:pPr>
        <w:pStyle w:val="BodyText"/>
      </w:pPr>
      <w:r>
        <w:t xml:space="preserve">Includes links to clinical education opportunities, such as the CDC’s online trainings and webinars and UW </w:t>
      </w:r>
      <w:r w:rsidR="00AA05B1">
        <w:t>TelePain.</w:t>
      </w:r>
    </w:p>
    <w:p w14:paraId="189ECB21" w14:textId="77777777" w:rsidR="00811985" w:rsidRDefault="00811985" w:rsidP="00811985">
      <w:pPr>
        <w:shd w:val="clear" w:color="auto" w:fill="FDEAB7"/>
        <w:spacing w:after="100" w:afterAutospacing="1" w:line="240" w:lineRule="auto"/>
        <w:outlineLvl w:val="1"/>
        <w:rPr>
          <w:rFonts w:ascii="Arial" w:eastAsia="Times New Roman" w:hAnsi="Arial" w:cs="Arial"/>
          <w:b/>
          <w:bCs/>
          <w:color w:val="30577D"/>
          <w:sz w:val="30"/>
          <w:szCs w:val="30"/>
        </w:rPr>
      </w:pPr>
      <w:r w:rsidRPr="00811985">
        <w:rPr>
          <w:rFonts w:ascii="Arial" w:eastAsia="Times New Roman" w:hAnsi="Arial" w:cs="Arial"/>
          <w:b/>
          <w:bCs/>
          <w:color w:val="30577D"/>
          <w:sz w:val="30"/>
          <w:szCs w:val="30"/>
        </w:rPr>
        <w:t>Policy, Patient Agreement, &amp; Workflow resources</w:t>
      </w:r>
    </w:p>
    <w:p w14:paraId="189ECB22" w14:textId="77777777" w:rsidR="000969F5" w:rsidRPr="00811985" w:rsidRDefault="000969F5" w:rsidP="000969F5">
      <w:pPr>
        <w:pStyle w:val="BodyText"/>
      </w:pPr>
      <w:r>
        <w:t>Includes an example policy, patient agreement, chronic pain appointment workflow, opioid refill workflow, and opioid list manager workflow. In addition, it links to opioid guidelines and the VA opioid taper decision tool.</w:t>
      </w:r>
    </w:p>
    <w:p w14:paraId="189ECB23" w14:textId="77777777" w:rsidR="00811985" w:rsidRDefault="00811985" w:rsidP="00811985">
      <w:pPr>
        <w:shd w:val="clear" w:color="auto" w:fill="FFD3CE"/>
        <w:spacing w:after="100" w:afterAutospacing="1" w:line="240" w:lineRule="auto"/>
        <w:outlineLvl w:val="1"/>
        <w:rPr>
          <w:rFonts w:ascii="Arial" w:eastAsia="Times New Roman" w:hAnsi="Arial" w:cs="Arial"/>
          <w:b/>
          <w:bCs/>
          <w:color w:val="30577D"/>
          <w:sz w:val="30"/>
          <w:szCs w:val="30"/>
        </w:rPr>
      </w:pPr>
      <w:r w:rsidRPr="00811985">
        <w:rPr>
          <w:rFonts w:ascii="Arial" w:eastAsia="Times New Roman" w:hAnsi="Arial" w:cs="Arial"/>
          <w:b/>
          <w:bCs/>
          <w:color w:val="30577D"/>
          <w:sz w:val="30"/>
          <w:szCs w:val="30"/>
        </w:rPr>
        <w:t>Tracking &amp; Monitoring Patient Care resources</w:t>
      </w:r>
    </w:p>
    <w:p w14:paraId="189ECB24" w14:textId="77777777" w:rsidR="000969F5" w:rsidRPr="00811985" w:rsidRDefault="000969F5" w:rsidP="000969F5">
      <w:pPr>
        <w:pStyle w:val="BodyText"/>
      </w:pPr>
      <w:r>
        <w:t>Includes suggested approaches to identifying patients on chronic opioid therapy, data to consider tracking, and other helpful resources for developing a tracking and monitoring program. In addition, it links to a recommended MED calculator.</w:t>
      </w:r>
    </w:p>
    <w:p w14:paraId="189ECB25" w14:textId="77777777" w:rsidR="00811985" w:rsidRDefault="00811985" w:rsidP="00811985">
      <w:pPr>
        <w:shd w:val="clear" w:color="auto" w:fill="CEEDB5"/>
        <w:spacing w:after="100" w:afterAutospacing="1" w:line="240" w:lineRule="auto"/>
        <w:outlineLvl w:val="1"/>
        <w:rPr>
          <w:rFonts w:ascii="Arial" w:eastAsia="Times New Roman" w:hAnsi="Arial" w:cs="Arial"/>
          <w:b/>
          <w:bCs/>
          <w:color w:val="30577D"/>
          <w:sz w:val="30"/>
          <w:szCs w:val="30"/>
        </w:rPr>
      </w:pPr>
      <w:r w:rsidRPr="00811985">
        <w:rPr>
          <w:rFonts w:ascii="Arial" w:eastAsia="Times New Roman" w:hAnsi="Arial" w:cs="Arial"/>
          <w:b/>
          <w:bCs/>
          <w:color w:val="30577D"/>
          <w:sz w:val="30"/>
          <w:szCs w:val="30"/>
        </w:rPr>
        <w:t>Planned, Patient-Centered Visits resources</w:t>
      </w:r>
    </w:p>
    <w:p w14:paraId="189ECB26" w14:textId="77777777" w:rsidR="000969F5" w:rsidRPr="00811985" w:rsidRDefault="000969F5" w:rsidP="000969F5">
      <w:pPr>
        <w:pStyle w:val="BodyText"/>
      </w:pPr>
      <w:r>
        <w:t>Includes patient education handouts, scripts and models for difficult conversations (e.g., tapering), and clinical tools such as alternatives to opioids</w:t>
      </w:r>
      <w:r w:rsidR="003C3AE3">
        <w:t>,</w:t>
      </w:r>
      <w:r>
        <w:t xml:space="preserve"> </w:t>
      </w:r>
      <w:r w:rsidR="003C3AE3">
        <w:t>self-management resources, and a table of recommended assessment tools (e.g., Pain, Enjoyment, and General activity scale).</w:t>
      </w:r>
    </w:p>
    <w:p w14:paraId="189ECB27" w14:textId="77777777" w:rsidR="00811985" w:rsidRDefault="00811985" w:rsidP="00811985">
      <w:pPr>
        <w:shd w:val="clear" w:color="auto" w:fill="C2DFF9"/>
        <w:spacing w:after="100" w:afterAutospacing="1" w:line="240" w:lineRule="auto"/>
        <w:outlineLvl w:val="1"/>
        <w:rPr>
          <w:rFonts w:ascii="Arial" w:eastAsia="Times New Roman" w:hAnsi="Arial" w:cs="Arial"/>
          <w:b/>
          <w:bCs/>
          <w:color w:val="30577D"/>
          <w:sz w:val="30"/>
          <w:szCs w:val="30"/>
        </w:rPr>
      </w:pPr>
      <w:r w:rsidRPr="00811985">
        <w:rPr>
          <w:rFonts w:ascii="Arial" w:eastAsia="Times New Roman" w:hAnsi="Arial" w:cs="Arial"/>
          <w:b/>
          <w:bCs/>
          <w:color w:val="30577D"/>
          <w:sz w:val="30"/>
          <w:szCs w:val="30"/>
        </w:rPr>
        <w:t>Caring for Complex Patients resources</w:t>
      </w:r>
    </w:p>
    <w:p w14:paraId="189ECB28" w14:textId="17334597" w:rsidR="003C3AE3" w:rsidRPr="00811985" w:rsidRDefault="003C3AE3" w:rsidP="003C3AE3">
      <w:pPr>
        <w:pStyle w:val="BodyText"/>
      </w:pPr>
      <w:r>
        <w:t xml:space="preserve">Includes a 2-page handout of suggested approaches to patients you have inherited from another clinician, a risk stratification </w:t>
      </w:r>
      <w:r w:rsidR="00AC7E1E">
        <w:t>tool,</w:t>
      </w:r>
      <w:bookmarkStart w:id="0" w:name="_GoBack"/>
      <w:bookmarkEnd w:id="0"/>
      <w:r>
        <w:t xml:space="preserve"> and links to information on buprenorphine and naloxone.</w:t>
      </w:r>
    </w:p>
    <w:p w14:paraId="189ECB29" w14:textId="77777777" w:rsidR="00811985" w:rsidRDefault="00811985" w:rsidP="00811985">
      <w:pPr>
        <w:shd w:val="clear" w:color="auto" w:fill="F6CFEA"/>
        <w:spacing w:after="100" w:afterAutospacing="1" w:line="240" w:lineRule="auto"/>
        <w:outlineLvl w:val="1"/>
        <w:rPr>
          <w:rFonts w:ascii="Arial" w:eastAsia="Times New Roman" w:hAnsi="Arial" w:cs="Arial"/>
          <w:b/>
          <w:bCs/>
          <w:color w:val="30577D"/>
          <w:sz w:val="30"/>
          <w:szCs w:val="30"/>
        </w:rPr>
      </w:pPr>
      <w:r w:rsidRPr="00811985">
        <w:rPr>
          <w:rFonts w:ascii="Arial" w:eastAsia="Times New Roman" w:hAnsi="Arial" w:cs="Arial"/>
          <w:b/>
          <w:bCs/>
          <w:color w:val="30577D"/>
          <w:sz w:val="30"/>
          <w:szCs w:val="30"/>
        </w:rPr>
        <w:t>Measuring Success resources</w:t>
      </w:r>
    </w:p>
    <w:p w14:paraId="189ECB2A" w14:textId="77777777" w:rsidR="003C3AE3" w:rsidRPr="00811985" w:rsidRDefault="003C3AE3" w:rsidP="003C3AE3">
      <w:pPr>
        <w:pStyle w:val="BodyText"/>
      </w:pPr>
      <w:r>
        <w:t>Tools for the Opioid Improvement Team to measure the success of the program, including milestones and metrics.</w:t>
      </w:r>
    </w:p>
    <w:p w14:paraId="189ECB2B" w14:textId="77777777" w:rsidR="00811985" w:rsidRDefault="00811985"/>
    <w:sectPr w:rsidR="008119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CB30" w14:textId="77777777" w:rsidR="00556AB9" w:rsidRDefault="00556AB9" w:rsidP="00E13850">
      <w:pPr>
        <w:spacing w:after="0" w:line="240" w:lineRule="auto"/>
      </w:pPr>
      <w:r>
        <w:separator/>
      </w:r>
    </w:p>
  </w:endnote>
  <w:endnote w:type="continuationSeparator" w:id="0">
    <w:p w14:paraId="189ECB31" w14:textId="77777777" w:rsidR="00556AB9" w:rsidRDefault="00556AB9" w:rsidP="00E1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189ECB32" w14:textId="77777777" w:rsidR="00E13850" w:rsidRDefault="00E13850" w:rsidP="00E13850">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8" behindDoc="0" locked="0" layoutInCell="1" allowOverlap="1" wp14:anchorId="189ECB37" wp14:editId="189ECB38">
              <wp:simplePos x="0" y="0"/>
              <wp:positionH relativeFrom="margin">
                <wp:posOffset>5233035</wp:posOffset>
              </wp:positionH>
              <wp:positionV relativeFrom="page">
                <wp:posOffset>9014460</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189ECB39" wp14:editId="189ECB3A">
              <wp:simplePos x="0" y="0"/>
              <wp:positionH relativeFrom="margin">
                <wp:posOffset>-460292</wp:posOffset>
              </wp:positionH>
              <wp:positionV relativeFrom="bottomMargin">
                <wp:posOffset>31032</wp:posOffset>
              </wp:positionV>
              <wp:extent cx="1300870" cy="79910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9ECB33" w14:textId="77777777" w:rsidR="00E13850" w:rsidRPr="007E5239" w:rsidRDefault="00E13850" w:rsidP="00E1385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SIX BUILDING BLOCKS: WEBSITE</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2018.12.02</w:t>
        </w:r>
      </w:p>
      <w:p w14:paraId="189ECB34" w14:textId="77777777" w:rsidR="00E13850" w:rsidRDefault="00E13850" w:rsidP="00E1385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Fonts w:cs="Times New Roman (Body CS)"/>
              <w:sz w:val="16"/>
              <w:szCs w:val="16"/>
              <w14:numForm w14:val="lining"/>
            </w:rPr>
            <w:t>CREATIVE COMMONS BY-NC-ND 4.0 INTERNATIONAL LICENSE</w:t>
          </w:r>
        </w:hyperlink>
      </w:p>
      <w:p w14:paraId="189ECB35" w14:textId="617FFF38" w:rsidR="00E13850" w:rsidRDefault="00E13850" w:rsidP="00E13850">
        <w:pPr>
          <w:pStyle w:val="Footer"/>
          <w:jc w:val="right"/>
          <w:rPr>
            <w:noProof/>
          </w:rPr>
        </w:pPr>
        <w:r>
          <w:fldChar w:fldCharType="begin"/>
        </w:r>
        <w:r>
          <w:instrText xml:space="preserve"> PAGE   \* MERGEFORMAT </w:instrText>
        </w:r>
        <w:r>
          <w:fldChar w:fldCharType="separate"/>
        </w:r>
        <w:r w:rsidR="00AC7E1E">
          <w:rPr>
            <w:noProof/>
          </w:rPr>
          <w:t>1</w:t>
        </w:r>
        <w:r>
          <w:rPr>
            <w:noProof/>
          </w:rPr>
          <w:fldChar w:fldCharType="end"/>
        </w:r>
      </w:p>
    </w:sdtContent>
  </w:sdt>
  <w:p w14:paraId="189ECB36" w14:textId="77777777" w:rsidR="00E13850" w:rsidRDefault="00E1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CB2E" w14:textId="77777777" w:rsidR="00556AB9" w:rsidRDefault="00556AB9" w:rsidP="00E13850">
      <w:pPr>
        <w:spacing w:after="0" w:line="240" w:lineRule="auto"/>
      </w:pPr>
      <w:r>
        <w:separator/>
      </w:r>
    </w:p>
  </w:footnote>
  <w:footnote w:type="continuationSeparator" w:id="0">
    <w:p w14:paraId="189ECB2F" w14:textId="77777777" w:rsidR="00556AB9" w:rsidRDefault="00556AB9" w:rsidP="00E13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815"/>
    <w:multiLevelType w:val="multilevel"/>
    <w:tmpl w:val="752C7DCE"/>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85"/>
    <w:rsid w:val="000969F5"/>
    <w:rsid w:val="003C3AE3"/>
    <w:rsid w:val="00556AB9"/>
    <w:rsid w:val="00707EA2"/>
    <w:rsid w:val="00811985"/>
    <w:rsid w:val="00AA05B1"/>
    <w:rsid w:val="00AC7E1E"/>
    <w:rsid w:val="00B30702"/>
    <w:rsid w:val="00E13850"/>
    <w:rsid w:val="00F3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CB1B"/>
  <w15:chartTrackingRefBased/>
  <w15:docId w15:val="{9C954939-DD52-46FB-8DA6-D81DCEC1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F5"/>
  </w:style>
  <w:style w:type="paragraph" w:styleId="Heading1">
    <w:name w:val="heading 1"/>
    <w:next w:val="BodyText"/>
    <w:link w:val="Heading1Char"/>
    <w:uiPriority w:val="9"/>
    <w:qFormat/>
    <w:rsid w:val="000969F5"/>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0969F5"/>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0969F5"/>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0969F5"/>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0969F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9F5"/>
    <w:rPr>
      <w:rFonts w:ascii="Corbel" w:eastAsiaTheme="majorEastAsia" w:hAnsi="Corbel" w:cstheme="majorBidi"/>
      <w:bCs/>
      <w:color w:val="000000" w:themeColor="text1"/>
      <w:sz w:val="32"/>
      <w:szCs w:val="52"/>
    </w:rPr>
  </w:style>
  <w:style w:type="character" w:styleId="Strong">
    <w:name w:val="Strong"/>
    <w:basedOn w:val="DefaultParagraphFont"/>
    <w:uiPriority w:val="22"/>
    <w:qFormat/>
    <w:rsid w:val="00811985"/>
    <w:rPr>
      <w:b/>
      <w:bCs/>
    </w:rPr>
  </w:style>
  <w:style w:type="paragraph" w:styleId="NormalWeb">
    <w:name w:val="Normal (Web)"/>
    <w:basedOn w:val="Normal"/>
    <w:uiPriority w:val="99"/>
    <w:semiHidden/>
    <w:unhideWhenUsed/>
    <w:rsid w:val="00811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0969F5"/>
    <w:rPr>
      <w:color w:val="404040" w:themeColor="text1" w:themeTint="BF"/>
      <w:u w:val="dotted"/>
    </w:rPr>
  </w:style>
  <w:style w:type="character" w:styleId="Emphasis">
    <w:name w:val="Emphasis"/>
    <w:basedOn w:val="DefaultParagraphFont"/>
    <w:uiPriority w:val="20"/>
    <w:qFormat/>
    <w:rsid w:val="000969F5"/>
    <w:rPr>
      <w:i/>
      <w:iCs/>
    </w:rPr>
  </w:style>
  <w:style w:type="character" w:customStyle="1" w:styleId="Heading1Char">
    <w:name w:val="Heading 1 Char"/>
    <w:basedOn w:val="DefaultParagraphFont"/>
    <w:link w:val="Heading1"/>
    <w:uiPriority w:val="9"/>
    <w:rsid w:val="000969F5"/>
    <w:rPr>
      <w:rFonts w:ascii="Corbel" w:eastAsiaTheme="majorEastAsia" w:hAnsi="Corbel" w:cstheme="majorBidi"/>
      <w:sz w:val="52"/>
      <w:szCs w:val="32"/>
    </w:rPr>
  </w:style>
  <w:style w:type="paragraph" w:styleId="Title">
    <w:name w:val="Title"/>
    <w:basedOn w:val="Normal"/>
    <w:next w:val="Normal"/>
    <w:link w:val="TitleChar"/>
    <w:uiPriority w:val="10"/>
    <w:qFormat/>
    <w:rsid w:val="00811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9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9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1985"/>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969F5"/>
    <w:rPr>
      <w:rFonts w:ascii="Corbel" w:eastAsiaTheme="majorEastAsia" w:hAnsi="Corbel" w:cstheme="majorBidi"/>
      <w:color w:val="2F5496" w:themeColor="accent5" w:themeShade="BF"/>
      <w:sz w:val="28"/>
      <w:szCs w:val="24"/>
    </w:rPr>
  </w:style>
  <w:style w:type="character" w:customStyle="1" w:styleId="Heading4Char">
    <w:name w:val="Heading 4 Char"/>
    <w:basedOn w:val="DefaultParagraphFont"/>
    <w:link w:val="Heading4"/>
    <w:uiPriority w:val="9"/>
    <w:rsid w:val="000969F5"/>
    <w:rPr>
      <w:rFonts w:ascii="Corbel" w:eastAsiaTheme="majorEastAsia" w:hAnsi="Corbel" w:cstheme="majorBidi"/>
      <w:b/>
      <w:iCs/>
      <w:color w:val="323E4F" w:themeColor="text2" w:themeShade="BF"/>
      <w:sz w:val="21"/>
    </w:rPr>
  </w:style>
  <w:style w:type="character" w:customStyle="1" w:styleId="Heading6Char">
    <w:name w:val="Heading 6 Char"/>
    <w:basedOn w:val="DefaultParagraphFont"/>
    <w:link w:val="Heading6"/>
    <w:uiPriority w:val="9"/>
    <w:semiHidden/>
    <w:rsid w:val="000969F5"/>
    <w:rPr>
      <w:rFonts w:asciiTheme="majorHAnsi" w:eastAsiaTheme="majorEastAsia" w:hAnsiTheme="majorHAnsi" w:cstheme="majorBidi"/>
      <w:color w:val="1F4D78" w:themeColor="accent1" w:themeShade="7F"/>
    </w:rPr>
  </w:style>
  <w:style w:type="paragraph" w:styleId="BodyText">
    <w:name w:val="Body Text"/>
    <w:link w:val="BodyTextChar"/>
    <w:uiPriority w:val="1"/>
    <w:qFormat/>
    <w:rsid w:val="000969F5"/>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0969F5"/>
    <w:rPr>
      <w:rFonts w:ascii="Corbel" w:eastAsia="Calibri" w:hAnsi="Corbel" w:cs="Calibri"/>
      <w:sz w:val="20"/>
      <w:szCs w:val="20"/>
      <w14:numForm w14:val="lining"/>
    </w:rPr>
  </w:style>
  <w:style w:type="paragraph" w:customStyle="1" w:styleId="Heading3withcheckbox">
    <w:name w:val="Heading 3 with checkbox"/>
    <w:basedOn w:val="Heading3"/>
    <w:rsid w:val="000969F5"/>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0969F5"/>
    <w:pPr>
      <w:numPr>
        <w:numId w:val="1"/>
      </w:numPr>
      <w:spacing w:after="120"/>
      <w:ind w:left="245" w:hanging="245"/>
      <w:contextualSpacing/>
    </w:pPr>
    <w:rPr>
      <w:color w:val="000000" w:themeColor="text1"/>
    </w:rPr>
  </w:style>
  <w:style w:type="paragraph" w:customStyle="1" w:styleId="Number">
    <w:name w:val="Number"/>
    <w:basedOn w:val="BodyText"/>
    <w:qFormat/>
    <w:rsid w:val="000969F5"/>
    <w:pPr>
      <w:numPr>
        <w:numId w:val="2"/>
      </w:numPr>
      <w:spacing w:after="60"/>
      <w:ind w:left="288" w:hanging="288"/>
    </w:pPr>
  </w:style>
  <w:style w:type="paragraph" w:customStyle="1" w:styleId="Checkablebox">
    <w:name w:val="Checkable box"/>
    <w:basedOn w:val="BodyText"/>
    <w:qFormat/>
    <w:rsid w:val="000969F5"/>
    <w:pPr>
      <w:contextualSpacing/>
    </w:pPr>
    <w:rPr>
      <w:color w:val="000000" w:themeColor="text1"/>
    </w:rPr>
  </w:style>
  <w:style w:type="paragraph" w:customStyle="1" w:styleId="Note">
    <w:name w:val="Note"/>
    <w:basedOn w:val="Normal"/>
    <w:qFormat/>
    <w:rsid w:val="000969F5"/>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0969F5"/>
    <w:pPr>
      <w:numPr>
        <w:numId w:val="3"/>
      </w:numPr>
      <w:spacing w:line="240" w:lineRule="atLeast"/>
      <w:ind w:left="576" w:hanging="288"/>
    </w:pPr>
  </w:style>
  <w:style w:type="table" w:styleId="PlainTable1">
    <w:name w:val="Plain Table 1"/>
    <w:basedOn w:val="TableNormal"/>
    <w:uiPriority w:val="41"/>
    <w:rsid w:val="000969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0969F5"/>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0969F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table" w:styleId="TableGrid">
    <w:name w:val="Table Grid"/>
    <w:basedOn w:val="TableNormal"/>
    <w:uiPriority w:val="39"/>
    <w:rsid w:val="0009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qFormat/>
    <w:rsid w:val="000969F5"/>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0969F5"/>
    <w:pPr>
      <w:spacing w:after="0" w:line="240" w:lineRule="auto"/>
    </w:pPr>
    <w:rPr>
      <w:i/>
      <w:color w:val="323E4F" w:themeColor="text2" w:themeShade="BF"/>
    </w:rPr>
  </w:style>
  <w:style w:type="paragraph" w:customStyle="1" w:styleId="Quote">
    <w:name w:val="&quot;Quote&quot;"/>
    <w:qFormat/>
    <w:rsid w:val="000969F5"/>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styleId="Header">
    <w:name w:val="header"/>
    <w:basedOn w:val="Normal"/>
    <w:link w:val="HeaderChar"/>
    <w:uiPriority w:val="99"/>
    <w:unhideWhenUsed/>
    <w:rsid w:val="0009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F5"/>
  </w:style>
  <w:style w:type="paragraph" w:styleId="Footer">
    <w:name w:val="footer"/>
    <w:basedOn w:val="Normal"/>
    <w:link w:val="FooterChar"/>
    <w:uiPriority w:val="99"/>
    <w:unhideWhenUsed/>
    <w:rsid w:val="0009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F5"/>
  </w:style>
  <w:style w:type="paragraph" w:customStyle="1" w:styleId="tablehead">
    <w:name w:val="table head"/>
    <w:basedOn w:val="Normal"/>
    <w:uiPriority w:val="99"/>
    <w:rsid w:val="000969F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0969F5"/>
    <w:pPr>
      <w:numPr>
        <w:numId w:val="4"/>
      </w:numPr>
      <w:spacing w:line="259" w:lineRule="auto"/>
      <w:ind w:left="245" w:hanging="245"/>
    </w:pPr>
    <w:rPr>
      <w:rFonts w:eastAsiaTheme="minorHAnsi" w:cstheme="minorBidi"/>
      <w:color w:val="000000" w:themeColor="text1"/>
      <w:sz w:val="18"/>
      <w:szCs w:val="22"/>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754">
      <w:bodyDiv w:val="1"/>
      <w:marLeft w:val="0"/>
      <w:marRight w:val="0"/>
      <w:marTop w:val="0"/>
      <w:marBottom w:val="0"/>
      <w:divBdr>
        <w:top w:val="none" w:sz="0" w:space="0" w:color="auto"/>
        <w:left w:val="none" w:sz="0" w:space="0" w:color="auto"/>
        <w:bottom w:val="none" w:sz="0" w:space="0" w:color="auto"/>
        <w:right w:val="none" w:sz="0" w:space="0" w:color="auto"/>
      </w:divBdr>
      <w:divsChild>
        <w:div w:id="410081064">
          <w:marLeft w:val="0"/>
          <w:marRight w:val="0"/>
          <w:marTop w:val="0"/>
          <w:marBottom w:val="0"/>
          <w:divBdr>
            <w:top w:val="none" w:sz="0" w:space="0" w:color="auto"/>
            <w:left w:val="none" w:sz="0" w:space="0" w:color="auto"/>
            <w:bottom w:val="none" w:sz="0" w:space="0" w:color="auto"/>
            <w:right w:val="none" w:sz="0" w:space="0" w:color="auto"/>
          </w:divBdr>
        </w:div>
        <w:div w:id="916206316">
          <w:marLeft w:val="0"/>
          <w:marRight w:val="0"/>
          <w:marTop w:val="0"/>
          <w:marBottom w:val="0"/>
          <w:divBdr>
            <w:top w:val="none" w:sz="0" w:space="0" w:color="auto"/>
            <w:left w:val="none" w:sz="0" w:space="0" w:color="auto"/>
            <w:bottom w:val="none" w:sz="0" w:space="0" w:color="auto"/>
            <w:right w:val="none" w:sz="0" w:space="0" w:color="auto"/>
          </w:divBdr>
        </w:div>
        <w:div w:id="302084275">
          <w:marLeft w:val="0"/>
          <w:marRight w:val="0"/>
          <w:marTop w:val="0"/>
          <w:marBottom w:val="0"/>
          <w:divBdr>
            <w:top w:val="none" w:sz="0" w:space="0" w:color="auto"/>
            <w:left w:val="none" w:sz="0" w:space="0" w:color="auto"/>
            <w:bottom w:val="none" w:sz="0" w:space="0" w:color="auto"/>
            <w:right w:val="none" w:sz="0" w:space="0" w:color="auto"/>
          </w:divBdr>
        </w:div>
        <w:div w:id="785349638">
          <w:marLeft w:val="0"/>
          <w:marRight w:val="0"/>
          <w:marTop w:val="0"/>
          <w:marBottom w:val="0"/>
          <w:divBdr>
            <w:top w:val="none" w:sz="0" w:space="0" w:color="auto"/>
            <w:left w:val="none" w:sz="0" w:space="0" w:color="auto"/>
            <w:bottom w:val="none" w:sz="0" w:space="0" w:color="auto"/>
            <w:right w:val="none" w:sz="0" w:space="0" w:color="auto"/>
          </w:divBdr>
        </w:div>
        <w:div w:id="769206688">
          <w:marLeft w:val="0"/>
          <w:marRight w:val="0"/>
          <w:marTop w:val="0"/>
          <w:marBottom w:val="0"/>
          <w:divBdr>
            <w:top w:val="none" w:sz="0" w:space="0" w:color="auto"/>
            <w:left w:val="none" w:sz="0" w:space="0" w:color="auto"/>
            <w:bottom w:val="none" w:sz="0" w:space="0" w:color="auto"/>
            <w:right w:val="none" w:sz="0" w:space="0" w:color="auto"/>
          </w:divBdr>
        </w:div>
        <w:div w:id="1718047556">
          <w:marLeft w:val="0"/>
          <w:marRight w:val="0"/>
          <w:marTop w:val="0"/>
          <w:marBottom w:val="0"/>
          <w:divBdr>
            <w:top w:val="none" w:sz="0" w:space="0" w:color="auto"/>
            <w:left w:val="none" w:sz="0" w:space="0" w:color="auto"/>
            <w:bottom w:val="none" w:sz="0" w:space="0" w:color="auto"/>
            <w:right w:val="none" w:sz="0" w:space="0" w:color="auto"/>
          </w:divBdr>
        </w:div>
      </w:divsChild>
    </w:div>
    <w:div w:id="1260137982">
      <w:bodyDiv w:val="1"/>
      <w:marLeft w:val="0"/>
      <w:marRight w:val="0"/>
      <w:marTop w:val="0"/>
      <w:marBottom w:val="0"/>
      <w:divBdr>
        <w:top w:val="none" w:sz="0" w:space="0" w:color="auto"/>
        <w:left w:val="none" w:sz="0" w:space="0" w:color="auto"/>
        <w:bottom w:val="none" w:sz="0" w:space="0" w:color="auto"/>
        <w:right w:val="none" w:sz="0" w:space="0" w:color="auto"/>
      </w:divBdr>
      <w:divsChild>
        <w:div w:id="2079471745">
          <w:marLeft w:val="0"/>
          <w:marRight w:val="0"/>
          <w:marTop w:val="0"/>
          <w:marBottom w:val="0"/>
          <w:divBdr>
            <w:top w:val="none" w:sz="0" w:space="0" w:color="auto"/>
            <w:left w:val="none" w:sz="0" w:space="0" w:color="auto"/>
            <w:bottom w:val="none" w:sz="0" w:space="0" w:color="auto"/>
            <w:right w:val="none" w:sz="0" w:space="0" w:color="auto"/>
          </w:divBdr>
        </w:div>
      </w:divsChild>
    </w:div>
    <w:div w:id="1927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ovingopioidcare.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SharePoint\Katie%20Osterhage%20-%20Six%20Building%20Blocks\Toolkit\Word%20Template\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 Toolkit</Template>
  <TotalTime>28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4</cp:revision>
  <dcterms:created xsi:type="dcterms:W3CDTF">2019-01-02T17:55:00Z</dcterms:created>
  <dcterms:modified xsi:type="dcterms:W3CDTF">2019-06-05T00:11:00Z</dcterms:modified>
</cp:coreProperties>
</file>