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50CD0" w14:textId="46862495" w:rsidR="00E42C39" w:rsidRDefault="00E42C39" w:rsidP="005B5950">
      <w:pPr>
        <w:pStyle w:val="Header"/>
      </w:pPr>
    </w:p>
    <w:p w14:paraId="44A48BF6" w14:textId="184F43FD" w:rsidR="00D4694F" w:rsidRPr="00ED1930" w:rsidRDefault="00C057CA" w:rsidP="00E42C39">
      <w:pPr>
        <w:pStyle w:val="Heading1"/>
      </w:pPr>
      <w:r w:rsidRPr="00ED1930">
        <w:t>Opioid policies checklist</w:t>
      </w:r>
    </w:p>
    <w:p w14:paraId="779A30CF" w14:textId="1155A8E8" w:rsidR="00234485" w:rsidRPr="00D5169F" w:rsidRDefault="000B0BDD" w:rsidP="00194549">
      <w:pPr>
        <w:pStyle w:val="BodyText"/>
      </w:pPr>
      <w:r w:rsidRPr="00D5169F">
        <w:t xml:space="preserve">Use this </w:t>
      </w:r>
      <w:r w:rsidR="00234485" w:rsidRPr="00D5169F">
        <w:t xml:space="preserve">checklist </w:t>
      </w:r>
      <w:r w:rsidRPr="00D5169F">
        <w:t>when revising your opioid policies to confirm alignment with</w:t>
      </w:r>
      <w:r w:rsidR="00234485" w:rsidRPr="00D5169F">
        <w:t xml:space="preserve"> </w:t>
      </w:r>
      <w:r w:rsidR="00D12D56" w:rsidRPr="00D5169F">
        <w:t>evidence</w:t>
      </w:r>
      <w:r w:rsidR="00234485" w:rsidRPr="00D5169F">
        <w:t xml:space="preserve">-based guidelines. The recommended topics to include come from the </w:t>
      </w:r>
      <w:hyperlink r:id="rId8" w:history="1">
        <w:r w:rsidR="00234485" w:rsidRPr="00AF2CAD">
          <w:rPr>
            <w:rStyle w:val="Hyperlink"/>
          </w:rPr>
          <w:t>CDC Guideline for Prescribing Opioids</w:t>
        </w:r>
      </w:hyperlink>
      <w:r w:rsidR="00234485" w:rsidRPr="00D5169F">
        <w:t xml:space="preserve"> </w:t>
      </w:r>
      <w:r w:rsidR="00901563" w:rsidRPr="00D5169F">
        <w:t>and</w:t>
      </w:r>
      <w:r w:rsidR="002872EE" w:rsidRPr="00D5169F">
        <w:t xml:space="preserve"> </w:t>
      </w:r>
      <w:hyperlink r:id="rId9" w:history="1">
        <w:r w:rsidR="002872EE" w:rsidRPr="00AF2CAD">
          <w:rPr>
            <w:rStyle w:val="Hyperlink"/>
          </w:rPr>
          <w:t>Washington State opioid prescribing rules</w:t>
        </w:r>
      </w:hyperlink>
      <w:r w:rsidR="00234485" w:rsidRPr="00D5169F">
        <w:t>.</w:t>
      </w:r>
    </w:p>
    <w:p w14:paraId="426F959A" w14:textId="36DA9688" w:rsidR="00C057CA" w:rsidRDefault="00C057CA" w:rsidP="00194549">
      <w:pPr>
        <w:pStyle w:val="Heading2"/>
      </w:pPr>
      <w:r>
        <w:t>Do you</w:t>
      </w:r>
      <w:r w:rsidR="0035048E">
        <w:t>r</w:t>
      </w:r>
      <w:r>
        <w:t xml:space="preserve"> opioid policies</w:t>
      </w:r>
      <w:r w:rsidR="0035048E">
        <w:t xml:space="preserve"> </w:t>
      </w:r>
      <w:r>
        <w:t xml:space="preserve">cover the </w:t>
      </w:r>
      <w:r w:rsidR="008B286E">
        <w:t xml:space="preserve">following </w:t>
      </w:r>
      <w:r>
        <w:t>topics?</w:t>
      </w:r>
    </w:p>
    <w:p w14:paraId="3C6CB7A0" w14:textId="2C32ED37" w:rsidR="00D5169F" w:rsidRDefault="00D5169F" w:rsidP="00E16D10">
      <w:pPr>
        <w:pStyle w:val="Heading3"/>
      </w:pPr>
      <w:r>
        <w:t>Continuity of care</w:t>
      </w:r>
    </w:p>
    <w:p w14:paraId="094B6030" w14:textId="157B46DE" w:rsidR="00D5169F" w:rsidRPr="00F17B0A" w:rsidRDefault="00B93C73" w:rsidP="00D5169F">
      <w:pPr>
        <w:pStyle w:val="Checklist"/>
      </w:pPr>
      <w:sdt>
        <w:sdtPr>
          <w:id w:val="51110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D5169F">
        <w:t>In most cases, it is important to continue to provide health care to patients, even if you are no longer prescribing opioids.</w:t>
      </w:r>
    </w:p>
    <w:p w14:paraId="2BB5CAFC" w14:textId="44DF8DC8" w:rsidR="00D5169F" w:rsidRDefault="00B93C73" w:rsidP="00D5169F">
      <w:pPr>
        <w:pStyle w:val="Checklist"/>
      </w:pPr>
      <w:sdt>
        <w:sdtPr>
          <w:id w:val="44311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35048E">
        <w:t>I</w:t>
      </w:r>
      <w:r w:rsidR="00D5169F" w:rsidRPr="00D440C3">
        <w:t>n</w:t>
      </w:r>
      <w:r w:rsidR="00D5169F">
        <w:t xml:space="preserve"> some cases the organization might consider discontinuing health care to the patient, such as </w:t>
      </w:r>
      <w:r w:rsidR="0035048E">
        <w:t xml:space="preserve">for </w:t>
      </w:r>
      <w:r w:rsidR="00D5169F">
        <w:t>persistent, unacceptable, inappropriate behavior with staff or clinicians.</w:t>
      </w:r>
    </w:p>
    <w:p w14:paraId="37BA8BC4" w14:textId="20DE823D" w:rsidR="000B0BDD" w:rsidRDefault="000B0BDD" w:rsidP="00E16D10">
      <w:pPr>
        <w:pStyle w:val="Heading3"/>
      </w:pPr>
      <w:r>
        <w:t xml:space="preserve">General rules for </w:t>
      </w:r>
      <w:r w:rsidR="00AF1E44">
        <w:t xml:space="preserve">all </w:t>
      </w:r>
      <w:r>
        <w:t>opioid prescribing</w:t>
      </w:r>
    </w:p>
    <w:p w14:paraId="6518AF81" w14:textId="78122D55" w:rsidR="000B0BDD" w:rsidRPr="000B0BDD" w:rsidRDefault="00B93C73" w:rsidP="000F51B3">
      <w:pPr>
        <w:pStyle w:val="Checklist"/>
      </w:pPr>
      <w:sdt>
        <w:sdtPr>
          <w:id w:val="52514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0B0BDD" w:rsidRPr="000B0BDD">
        <w:t>Only prescribe opioids if</w:t>
      </w:r>
      <w:r w:rsidR="000F51B3">
        <w:t xml:space="preserve"> the </w:t>
      </w:r>
      <w:r w:rsidR="000B0BDD" w:rsidRPr="000B0BDD">
        <w:t>patient has a diagnosis for pain that will benefit from opioid</w:t>
      </w:r>
      <w:r w:rsidR="000D5D07">
        <w:t>s</w:t>
      </w:r>
      <w:r w:rsidR="000B0BDD" w:rsidRPr="000B0BDD">
        <w:t>.</w:t>
      </w:r>
    </w:p>
    <w:p w14:paraId="6AE15E4A" w14:textId="285324A3" w:rsidR="000B0BDD" w:rsidRPr="000B0BDD" w:rsidRDefault="00B93C73" w:rsidP="000B0BDD">
      <w:pPr>
        <w:pStyle w:val="Checklist"/>
      </w:pPr>
      <w:sdt>
        <w:sdtPr>
          <w:id w:val="-13811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0B0BDD" w:rsidRPr="000B0BDD">
        <w:t>Prescribe the lowest effective dose of immediate-release opioids. Avoid doses of ≥50 MED.</w:t>
      </w:r>
    </w:p>
    <w:p w14:paraId="62EB21F6" w14:textId="4FA2F30C" w:rsidR="000B0BDD" w:rsidRDefault="00B93C73" w:rsidP="000B0BDD">
      <w:pPr>
        <w:pStyle w:val="Checklist"/>
      </w:pPr>
      <w:sdt>
        <w:sdtPr>
          <w:id w:val="-71057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0B0BDD" w:rsidRPr="000B0BDD">
        <w:t>Do not prescribe opioids for non-specific axial (mechanical) low back pain, fibromyalgia, and chronic headaches.</w:t>
      </w:r>
    </w:p>
    <w:p w14:paraId="798F32DB" w14:textId="78510CB2" w:rsidR="00AF2CAD" w:rsidRPr="000B0BDD" w:rsidRDefault="00B93C73" w:rsidP="000B0BDD">
      <w:pPr>
        <w:pStyle w:val="Checklist"/>
      </w:pPr>
      <w:sdt>
        <w:sdtPr>
          <w:id w:val="53956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AF2CAD">
        <w:t xml:space="preserve">Refer to </w:t>
      </w:r>
      <w:hyperlink r:id="rId10" w:history="1">
        <w:r w:rsidR="00AF2CAD" w:rsidRPr="00323C06">
          <w:rPr>
            <w:rStyle w:val="Hyperlink"/>
          </w:rPr>
          <w:t>assessment schedule</w:t>
        </w:r>
      </w:hyperlink>
      <w:r w:rsidR="00AF2CAD">
        <w:t xml:space="preserve"> for information on recommended care processes for patients using opioid medications.</w:t>
      </w:r>
    </w:p>
    <w:p w14:paraId="598D02E5" w14:textId="3EFD7EA6" w:rsidR="000F51B3" w:rsidRDefault="00323C06" w:rsidP="000F51B3">
      <w:pPr>
        <w:pStyle w:val="Heading3"/>
      </w:pPr>
      <w:r>
        <w:t>Pain and function</w:t>
      </w:r>
    </w:p>
    <w:p w14:paraId="11B4E2F0" w14:textId="63BE492B" w:rsidR="000F51B3" w:rsidRDefault="00B93C73" w:rsidP="000F51B3">
      <w:pPr>
        <w:pStyle w:val="Checklist"/>
      </w:pPr>
      <w:sdt>
        <w:sdtPr>
          <w:id w:val="132184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D5169F">
        <w:t>Only</w:t>
      </w:r>
      <w:r w:rsidR="000F51B3">
        <w:t xml:space="preserve"> </w:t>
      </w:r>
      <w:r w:rsidR="00D5169F">
        <w:t>consider</w:t>
      </w:r>
      <w:r w:rsidR="000F51B3">
        <w:t xml:space="preserve"> opioid therapy if </w:t>
      </w:r>
      <w:r w:rsidR="00D5169F">
        <w:t xml:space="preserve">the </w:t>
      </w:r>
      <w:r w:rsidR="000F51B3">
        <w:t>expected benefits for pain and function are anticipated to outweigh risks to the patient.</w:t>
      </w:r>
    </w:p>
    <w:p w14:paraId="6372B933" w14:textId="6048F962" w:rsidR="000F51B3" w:rsidRDefault="00B93C73" w:rsidP="000F51B3">
      <w:pPr>
        <w:pStyle w:val="Checklist"/>
      </w:pPr>
      <w:sdt>
        <w:sdtPr>
          <w:id w:val="-40322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0F51B3">
        <w:t xml:space="preserve">Before starting opioid therapy for chronic pain, clinicians should establish treatment goals with </w:t>
      </w:r>
      <w:r w:rsidR="00F90F6B">
        <w:t xml:space="preserve">the </w:t>
      </w:r>
      <w:r w:rsidR="000F51B3">
        <w:t>patient, including realistic goals for pain and function.</w:t>
      </w:r>
    </w:p>
    <w:p w14:paraId="4337B337" w14:textId="49DCB92E" w:rsidR="000F51B3" w:rsidRPr="00E50710" w:rsidRDefault="00B93C73" w:rsidP="000F51B3">
      <w:pPr>
        <w:pStyle w:val="Checklist"/>
      </w:pPr>
      <w:sdt>
        <w:sdtPr>
          <w:id w:val="-59031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D5169F">
        <w:t>Only</w:t>
      </w:r>
      <w:r w:rsidR="000F51B3">
        <w:t xml:space="preserve"> continue opioid therapy if there is clinically meaningful improvement in pain and function that outweighs risks to patient safety.</w:t>
      </w:r>
    </w:p>
    <w:p w14:paraId="0765B725" w14:textId="16626DC0" w:rsidR="000F51B3" w:rsidRDefault="000F51B3" w:rsidP="000F51B3">
      <w:pPr>
        <w:pStyle w:val="Heading3"/>
      </w:pPr>
      <w:r w:rsidRPr="00194549">
        <w:t>Use of non-opioid and non-ph</w:t>
      </w:r>
      <w:r w:rsidR="00323C06">
        <w:t>armacological therapies</w:t>
      </w:r>
    </w:p>
    <w:p w14:paraId="642FAFCD" w14:textId="10688FEB" w:rsidR="000F51B3" w:rsidRPr="00F16726" w:rsidRDefault="00B93C73" w:rsidP="000F51B3">
      <w:pPr>
        <w:pStyle w:val="Checklist"/>
      </w:pPr>
      <w:sdt>
        <w:sdtPr>
          <w:id w:val="-27416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0F51B3">
        <w:t xml:space="preserve">Encourage the use </w:t>
      </w:r>
      <w:r w:rsidR="000F51B3" w:rsidRPr="00802FEE">
        <w:t>of evidence-base</w:t>
      </w:r>
      <w:r w:rsidR="000F51B3" w:rsidRPr="00F16726">
        <w:t xml:space="preserve">d non-opioid and non-pharmacological modalities </w:t>
      </w:r>
      <w:r w:rsidR="000F51B3" w:rsidRPr="00802FEE">
        <w:t>whenever reasonable and clinically appropriate.</w:t>
      </w:r>
    </w:p>
    <w:p w14:paraId="4DCB1740" w14:textId="4771B738" w:rsidR="008B286E" w:rsidRDefault="006509FC" w:rsidP="00E16D10">
      <w:pPr>
        <w:pStyle w:val="Heading3"/>
      </w:pPr>
      <w:r w:rsidRPr="00194549">
        <w:t>Prescribing opioids for acute</w:t>
      </w:r>
      <w:r w:rsidR="00C16204">
        <w:t xml:space="preserve"> </w:t>
      </w:r>
      <w:r w:rsidR="00AF4FA2">
        <w:t xml:space="preserve">(&lt;6 weeks) </w:t>
      </w:r>
      <w:r w:rsidR="00C16204">
        <w:t>and subacute</w:t>
      </w:r>
      <w:r w:rsidR="00AF4FA2">
        <w:t xml:space="preserve"> (6-12 weeks)</w:t>
      </w:r>
      <w:r w:rsidR="00323C06">
        <w:t xml:space="preserve"> pain</w:t>
      </w:r>
    </w:p>
    <w:p w14:paraId="70082717" w14:textId="72653E69" w:rsidR="00E16D10" w:rsidRDefault="00B93C73" w:rsidP="00E16D10">
      <w:pPr>
        <w:pStyle w:val="Checklist"/>
      </w:pPr>
      <w:sdt>
        <w:sdtPr>
          <w:id w:val="-27902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E16D10">
        <w:t>Prescribe no more than 7 days of opioids for acute pain.</w:t>
      </w:r>
    </w:p>
    <w:p w14:paraId="6AA31991" w14:textId="6B0214CD" w:rsidR="00D802C0" w:rsidRPr="00D802C0" w:rsidRDefault="00B93C73" w:rsidP="00E16D10">
      <w:pPr>
        <w:pStyle w:val="Checklist"/>
      </w:pPr>
      <w:sdt>
        <w:sdtPr>
          <w:id w:val="111671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D802C0" w:rsidRPr="00D802C0">
        <w:t>Do not prescribe methadone or extended-release opioids for acute pain.</w:t>
      </w:r>
    </w:p>
    <w:p w14:paraId="0C0693BD" w14:textId="4A2906D4" w:rsidR="00E16D10" w:rsidRDefault="00B93C73" w:rsidP="00E16D10">
      <w:pPr>
        <w:pStyle w:val="Checklist"/>
      </w:pPr>
      <w:sdt>
        <w:sdtPr>
          <w:id w:val="157693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BE1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E16D10">
        <w:t>Prescribe no more than 14 days of opioids for subacute pain.</w:t>
      </w:r>
    </w:p>
    <w:p w14:paraId="76394B55" w14:textId="7FFFBA85" w:rsidR="008B286E" w:rsidRDefault="00AF1E44" w:rsidP="00E16D10">
      <w:pPr>
        <w:pStyle w:val="Heading3"/>
      </w:pPr>
      <w:r>
        <w:t>Prescribing opioids for chronic pain</w:t>
      </w:r>
      <w:r w:rsidR="00AF4FA2">
        <w:t xml:space="preserve"> (&gt;12 weeks)</w:t>
      </w:r>
    </w:p>
    <w:p w14:paraId="59BF34FA" w14:textId="71CF27D6" w:rsidR="00D74B18" w:rsidRPr="00AF1E44" w:rsidRDefault="00B93C73" w:rsidP="00D74B18">
      <w:pPr>
        <w:pStyle w:val="Checklist"/>
      </w:pPr>
      <w:sdt>
        <w:sdtPr>
          <w:id w:val="1950117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D74B18" w:rsidRPr="00AF1E44">
        <w:t>Within 1 to 4 weeks of prescribing opioid therapy for chronic pain, evaluate benefits and risks; only continue opioid therapy if there is clinically meaningful improvement in pain and function that outweighs risks to the patient.</w:t>
      </w:r>
    </w:p>
    <w:p w14:paraId="0F0BF472" w14:textId="1ED24411" w:rsidR="008B286E" w:rsidRDefault="00B93C73" w:rsidP="00AF1E44">
      <w:pPr>
        <w:pStyle w:val="Checklist"/>
      </w:pPr>
      <w:sdt>
        <w:sdtPr>
          <w:id w:val="20877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D74B18" w:rsidRPr="00AF1E44">
        <w:t>Patients should receive prescription refills from only one clinician (or their designee if not available).</w:t>
      </w:r>
    </w:p>
    <w:p w14:paraId="2DB197C3" w14:textId="2709F0D5" w:rsidR="008B286E" w:rsidRDefault="008B286E" w:rsidP="00E16D10">
      <w:pPr>
        <w:pStyle w:val="Heading3"/>
      </w:pPr>
      <w:r w:rsidRPr="00194549">
        <w:t xml:space="preserve">Co-prescribing </w:t>
      </w:r>
      <w:r w:rsidR="006509FC" w:rsidRPr="00194549">
        <w:t>of opioids and</w:t>
      </w:r>
      <w:r w:rsidR="00D5169F">
        <w:t xml:space="preserve"> </w:t>
      </w:r>
      <w:r w:rsidR="00DE5ADD">
        <w:t>sedative</w:t>
      </w:r>
      <w:r w:rsidR="00D5169F">
        <w:t>s</w:t>
      </w:r>
    </w:p>
    <w:p w14:paraId="418A9292" w14:textId="6A2A2790" w:rsidR="00E16D10" w:rsidRPr="00E16D10" w:rsidRDefault="00B93C73" w:rsidP="00763218">
      <w:pPr>
        <w:pStyle w:val="Checklist"/>
      </w:pPr>
      <w:sdt>
        <w:sdtPr>
          <w:id w:val="-72360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E16D10" w:rsidRPr="00E16D10">
        <w:t>Do not co-prescribe opioids and the following medications without documentation in the record, discussion of risks, consultation with the patient’s other prescribers, and consideration of tapering:</w:t>
      </w:r>
    </w:p>
    <w:p w14:paraId="7C25B763" w14:textId="77777777" w:rsidR="00E16D10" w:rsidRPr="00E16D10" w:rsidRDefault="00E16D10" w:rsidP="00E16D10">
      <w:pPr>
        <w:pStyle w:val="Subbullet"/>
      </w:pPr>
      <w:r w:rsidRPr="00E16D10">
        <w:t>Benzodiazepines, barbiturates, sedatives, carisoprodol, non-benzodiazepine hypnotics</w:t>
      </w:r>
    </w:p>
    <w:p w14:paraId="6DFA115D" w14:textId="1467064A" w:rsidR="00287BDD" w:rsidRDefault="00B93C73" w:rsidP="00287BDD">
      <w:pPr>
        <w:pStyle w:val="Checklist"/>
      </w:pPr>
      <w:sdt>
        <w:sdtPr>
          <w:id w:val="56430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D74B18" w:rsidRPr="00480C09">
        <w:t>If co-prescribing</w:t>
      </w:r>
      <w:r w:rsidR="00D74B18">
        <w:t xml:space="preserve"> </w:t>
      </w:r>
      <w:r w:rsidR="00D74B18" w:rsidRPr="006E320F">
        <w:t xml:space="preserve">opioids </w:t>
      </w:r>
      <w:r w:rsidR="00D74B18" w:rsidRPr="00480C09">
        <w:t xml:space="preserve">and </w:t>
      </w:r>
      <w:hyperlink r:id="rId11" w:history="1">
        <w:r w:rsidR="00DE5ADD">
          <w:t>sedative</w:t>
        </w:r>
        <w:r w:rsidR="00D74B18" w:rsidRPr="00480C09">
          <w:t>s</w:t>
        </w:r>
      </w:hyperlink>
      <w:r w:rsidR="00F90F6B">
        <w:t xml:space="preserve"> to a patient</w:t>
      </w:r>
      <w:r w:rsidR="000E02B7">
        <w:t xml:space="preserve"> who has come to your practice on these medications</w:t>
      </w:r>
      <w:r w:rsidR="00D74B18">
        <w:t>, begin tapering when a</w:t>
      </w:r>
      <w:r w:rsidR="000F51B3">
        <w:t>ppropriate and within 3 months o</w:t>
      </w:r>
      <w:r w:rsidR="00D74B18">
        <w:t xml:space="preserve">f </w:t>
      </w:r>
      <w:r w:rsidR="000E02B7">
        <w:t xml:space="preserve">initiating care for </w:t>
      </w:r>
      <w:r w:rsidR="00D74B18">
        <w:t xml:space="preserve">the patient. Engage the patient in the process by deciding which to taper and at what rate. The tapering plan can change over time (e.g., </w:t>
      </w:r>
      <w:bookmarkStart w:id="0" w:name="_GoBack"/>
      <w:bookmarkEnd w:id="0"/>
      <w:r w:rsidR="00D74B18">
        <w:t>which medicine tapered can alternate</w:t>
      </w:r>
      <w:r w:rsidR="00DE5ADD">
        <w:t xml:space="preserve"> back and forth between sedative and opioid</w:t>
      </w:r>
      <w:r w:rsidR="00D74B18">
        <w:t>; tapering rate can change).</w:t>
      </w:r>
    </w:p>
    <w:p w14:paraId="1CCE937C" w14:textId="1F059E13" w:rsidR="00C16204" w:rsidRDefault="00323C06" w:rsidP="00287BDD">
      <w:pPr>
        <w:pStyle w:val="Heading3"/>
      </w:pPr>
      <w:r>
        <w:t>Risk</w:t>
      </w:r>
    </w:p>
    <w:p w14:paraId="43CAF734" w14:textId="220DD9B4" w:rsidR="00B84A0A" w:rsidRDefault="00B93C73" w:rsidP="00B84A0A">
      <w:pPr>
        <w:pStyle w:val="Checklist"/>
      </w:pPr>
      <w:sdt>
        <w:sdtPr>
          <w:id w:val="12112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B84A0A">
        <w:t xml:space="preserve">Assess overdose risk before </w:t>
      </w:r>
      <w:r w:rsidR="002315DC">
        <w:t xml:space="preserve">the </w:t>
      </w:r>
      <w:r w:rsidR="00B84A0A">
        <w:t xml:space="preserve">first opioid prescription. </w:t>
      </w:r>
      <w:r w:rsidR="00B84A0A" w:rsidRPr="00802FEE">
        <w:t xml:space="preserve">Risk factors for overdose include history of overdose, substance use disorder or abuse, sleep apnea, chronic lung disease, and use of any concurrent </w:t>
      </w:r>
      <w:r w:rsidR="00DE5ADD">
        <w:t>sedative</w:t>
      </w:r>
      <w:r w:rsidR="00B84A0A">
        <w:t>.</w:t>
      </w:r>
    </w:p>
    <w:p w14:paraId="4DB4FDBE" w14:textId="52FF6705" w:rsidR="00C16204" w:rsidRDefault="00B93C73" w:rsidP="00C16204">
      <w:pPr>
        <w:pStyle w:val="Checklist"/>
      </w:pPr>
      <w:sdt>
        <w:sdtPr>
          <w:id w:val="177020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B84A0A">
        <w:t>Assess and document risk level before prescribing opioids for chronic pain (pain lasting longer than 12 weeks).</w:t>
      </w:r>
    </w:p>
    <w:p w14:paraId="43DF10D9" w14:textId="5E8A7CA3" w:rsidR="00D5169F" w:rsidRDefault="00B93C73" w:rsidP="00F37E27">
      <w:pPr>
        <w:pStyle w:val="Checklist"/>
      </w:pPr>
      <w:sdt>
        <w:sdtPr>
          <w:id w:val="6885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CE7BF8">
        <w:t>Conduct care practices</w:t>
      </w:r>
      <w:r w:rsidR="00B84A0A">
        <w:t xml:space="preserve"> for chronic pain</w:t>
      </w:r>
      <w:r w:rsidR="00CE7BF8">
        <w:t xml:space="preserve"> according to </w:t>
      </w:r>
      <w:hyperlink r:id="rId12" w:history="1">
        <w:r w:rsidR="00CE7BF8" w:rsidRPr="002315DC">
          <w:rPr>
            <w:rStyle w:val="Hyperlink"/>
          </w:rPr>
          <w:t>risk</w:t>
        </w:r>
        <w:r w:rsidR="00B84A0A" w:rsidRPr="002315DC">
          <w:rPr>
            <w:rStyle w:val="Hyperlink"/>
          </w:rPr>
          <w:t xml:space="preserve"> level</w:t>
        </w:r>
      </w:hyperlink>
      <w:r w:rsidR="00F37E27">
        <w:t xml:space="preserve"> (high risk, at least quarterly;</w:t>
      </w:r>
      <w:r w:rsidR="00F37E27" w:rsidRPr="000B0BDD">
        <w:t xml:space="preserve"> moderate risk, at least semiannually; low-risk, at least annually)</w:t>
      </w:r>
      <w:r w:rsidR="00CE7BF8">
        <w:t>.</w:t>
      </w:r>
    </w:p>
    <w:p w14:paraId="5DFD5E45" w14:textId="70E12790" w:rsidR="008B286E" w:rsidRDefault="008B286E" w:rsidP="00E16D10">
      <w:pPr>
        <w:pStyle w:val="Heading3"/>
      </w:pPr>
      <w:r w:rsidRPr="00194549">
        <w:t xml:space="preserve">Urine drug </w:t>
      </w:r>
      <w:r w:rsidR="00D5169F">
        <w:t>tests</w:t>
      </w:r>
    </w:p>
    <w:p w14:paraId="60921EA5" w14:textId="7A23697D" w:rsidR="00CD73A5" w:rsidRPr="00CD73A5" w:rsidRDefault="00B93C73" w:rsidP="00CD73A5">
      <w:pPr>
        <w:pStyle w:val="Checklist"/>
        <w:rPr>
          <w:rStyle w:val="Hyperlink"/>
          <w:color w:val="auto"/>
          <w:u w:val="none"/>
        </w:rPr>
      </w:pPr>
      <w:sdt>
        <w:sdtPr>
          <w:rPr>
            <w:color w:val="404040" w:themeColor="text1" w:themeTint="BF"/>
            <w:u w:val="dotted"/>
          </w:rPr>
          <w:id w:val="14048701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D5169F">
        <w:t>Conduct urine drug tests at f</w:t>
      </w:r>
      <w:r w:rsidR="00CD73A5" w:rsidRPr="001151CE">
        <w:t xml:space="preserve">irst subacute or chronic pain visit and then </w:t>
      </w:r>
      <w:hyperlink w:anchor="_Appendix:_Risk_Stratification" w:history="1">
        <w:r w:rsidR="00CD73A5" w:rsidRPr="000F51B3">
          <w:t>according to risk level</w:t>
        </w:r>
      </w:hyperlink>
      <w:r w:rsidR="00D5169F">
        <w:t>.</w:t>
      </w:r>
    </w:p>
    <w:p w14:paraId="61D9DF63" w14:textId="76296119" w:rsidR="008B286E" w:rsidRDefault="006509FC" w:rsidP="00E16D10">
      <w:pPr>
        <w:pStyle w:val="Heading3"/>
      </w:pPr>
      <w:r w:rsidRPr="00194549">
        <w:t>Monitoring of s</w:t>
      </w:r>
      <w:r w:rsidR="008B286E" w:rsidRPr="00194549">
        <w:t xml:space="preserve">tate </w:t>
      </w:r>
      <w:r w:rsidR="002872EE">
        <w:t>prescription data monitoring</w:t>
      </w:r>
      <w:r w:rsidR="00DE5ADD">
        <w:t xml:space="preserve"> program</w:t>
      </w:r>
      <w:r w:rsidR="002872EE">
        <w:t xml:space="preserve"> </w:t>
      </w:r>
      <w:r w:rsidR="008B286E" w:rsidRPr="00194549">
        <w:t>database</w:t>
      </w:r>
    </w:p>
    <w:p w14:paraId="5F754494" w14:textId="2C35EF20" w:rsidR="00675141" w:rsidRPr="000F51B3" w:rsidRDefault="00B93C73" w:rsidP="00675141">
      <w:pPr>
        <w:pStyle w:val="Checklist"/>
      </w:pPr>
      <w:sdt>
        <w:sdtPr>
          <w:id w:val="-200989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D5169F">
        <w:t>Review the patient’s history of controlled substance prescriptions using the state prescription data monitoring database before the f</w:t>
      </w:r>
      <w:r w:rsidR="00675141" w:rsidRPr="001151CE">
        <w:t xml:space="preserve">irst opioid prescription, </w:t>
      </w:r>
      <w:r w:rsidR="00675141" w:rsidRPr="000F51B3">
        <w:t xml:space="preserve">at each transition to a new pain category (acute, subacute, chronic), and then at visits </w:t>
      </w:r>
      <w:hyperlink w:anchor="_Appendix:_Risk_Stratification" w:history="1">
        <w:r w:rsidR="00675141" w:rsidRPr="000F51B3">
          <w:t>according to risk level</w:t>
        </w:r>
      </w:hyperlink>
      <w:r w:rsidR="002315DC">
        <w:t>.</w:t>
      </w:r>
    </w:p>
    <w:p w14:paraId="241FFE60" w14:textId="68E15A8B" w:rsidR="008B286E" w:rsidRDefault="008B286E" w:rsidP="00E16D10">
      <w:pPr>
        <w:pStyle w:val="Heading3"/>
      </w:pPr>
      <w:r w:rsidRPr="00194549">
        <w:t>Patient agreements</w:t>
      </w:r>
    </w:p>
    <w:p w14:paraId="2A2399CE" w14:textId="24303176" w:rsidR="00E50710" w:rsidRPr="00E50710" w:rsidRDefault="00B93C73" w:rsidP="00E50710">
      <w:pPr>
        <w:pStyle w:val="Checklist"/>
      </w:pPr>
      <w:sdt>
        <w:sdtPr>
          <w:id w:val="-99919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E50710">
        <w:t>Patient agreements reviewing risks a</w:t>
      </w:r>
      <w:r w:rsidR="0042586C">
        <w:t>s well as</w:t>
      </w:r>
      <w:r w:rsidR="00E50710">
        <w:t xml:space="preserve"> patient and clinician </w:t>
      </w:r>
      <w:r w:rsidR="0099662B">
        <w:t>responsibilities</w:t>
      </w:r>
      <w:r w:rsidR="00E50710">
        <w:t xml:space="preserve"> for managing therapy are signed by every patient on opioids.</w:t>
      </w:r>
    </w:p>
    <w:p w14:paraId="771337C7" w14:textId="30A855F4" w:rsidR="0012798D" w:rsidRDefault="0012798D" w:rsidP="00E16D10">
      <w:pPr>
        <w:pStyle w:val="Heading3"/>
      </w:pPr>
      <w:r w:rsidRPr="00194549">
        <w:lastRenderedPageBreak/>
        <w:t>Pa</w:t>
      </w:r>
      <w:r w:rsidR="00323C06">
        <w:t>tient education</w:t>
      </w:r>
    </w:p>
    <w:p w14:paraId="1B80ADFA" w14:textId="75EBF5F1" w:rsidR="00D74B18" w:rsidRPr="00D74B18" w:rsidRDefault="00B93C73" w:rsidP="00D74B18">
      <w:pPr>
        <w:pStyle w:val="Checklist"/>
      </w:pPr>
      <w:sdt>
        <w:sdtPr>
          <w:id w:val="96291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D74B18">
        <w:t xml:space="preserve">Provide patient with written </w:t>
      </w:r>
      <w:r w:rsidR="00D74B18" w:rsidRPr="00E50710">
        <w:t>notification and educate patients about the risks associated with the use of opioids (including opioid dependence), how to securely store opioids</w:t>
      </w:r>
      <w:r w:rsidR="00D74B18" w:rsidRPr="00945BE1">
        <w:t>; and about the availability and location of disposal sites for unused opioid medications.</w:t>
      </w:r>
    </w:p>
    <w:p w14:paraId="0AA55D3C" w14:textId="528F7471" w:rsidR="0012798D" w:rsidRDefault="0012798D" w:rsidP="00E16D10">
      <w:pPr>
        <w:pStyle w:val="Heading3"/>
      </w:pPr>
      <w:r w:rsidRPr="00194549">
        <w:t>Tapering</w:t>
      </w:r>
      <w:r w:rsidR="00323C06">
        <w:t xml:space="preserve"> of opioids</w:t>
      </w:r>
    </w:p>
    <w:p w14:paraId="625815EB" w14:textId="673E4CD5" w:rsidR="00D352E8" w:rsidRPr="00C16204" w:rsidRDefault="00B93C73" w:rsidP="00D352E8">
      <w:pPr>
        <w:pStyle w:val="Checklist"/>
      </w:pPr>
      <w:sdt>
        <w:sdtPr>
          <w:id w:val="135661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D352E8" w:rsidRPr="00E50710">
        <w:t>If benefits do not outweigh harms of opioid therapy, clinicians should optimize other therapies and work with patients to taper opioids to lower dosages or to taper and discontinue</w:t>
      </w:r>
      <w:r w:rsidR="00D352E8">
        <w:t xml:space="preserve"> opioids.</w:t>
      </w:r>
    </w:p>
    <w:p w14:paraId="6676641B" w14:textId="126E8F5A" w:rsidR="00681CC5" w:rsidRPr="00E50710" w:rsidRDefault="00B93C73" w:rsidP="00681CC5">
      <w:pPr>
        <w:pStyle w:val="Checklist"/>
      </w:pPr>
      <w:sdt>
        <w:sdtPr>
          <w:id w:val="-19917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681CC5" w:rsidRPr="00E50710">
        <w:t>Slow opioid tapers (e.g., 10% per month) as well as pauses in the taper with a defined resume time allow gradual accommodation to lower opioid dosages and are best practice</w:t>
      </w:r>
      <w:r w:rsidR="00D00E78">
        <w:t>s</w:t>
      </w:r>
      <w:r w:rsidR="00681CC5" w:rsidRPr="00E50710">
        <w:t>. If a patient is enthusiastic about tapering, they can increase the rate</w:t>
      </w:r>
      <w:r w:rsidR="00DE5ADD">
        <w:t xml:space="preserve"> (e.g., </w:t>
      </w:r>
      <w:r w:rsidR="00681CC5" w:rsidRPr="00E50710">
        <w:t>10% every 2 weeks</w:t>
      </w:r>
      <w:r w:rsidR="00DE5ADD">
        <w:t>)</w:t>
      </w:r>
      <w:r w:rsidR="00681CC5" w:rsidRPr="00E50710">
        <w:t>. Avoid increasing doses once tapering begins by identifying non-opioid strategies for pain flares. The only exception is a new acute pain problem.</w:t>
      </w:r>
    </w:p>
    <w:p w14:paraId="6067AFA7" w14:textId="4A9F9255" w:rsidR="00C16204" w:rsidRDefault="00B93C73" w:rsidP="00C16204">
      <w:pPr>
        <w:pStyle w:val="Checklist"/>
      </w:pPr>
      <w:sdt>
        <w:sdtPr>
          <w:id w:val="-106695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C16204" w:rsidRPr="00E50710">
        <w:t>Tapering at 10% per week is reasonable for patients in the acute and subacute phase.</w:t>
      </w:r>
    </w:p>
    <w:p w14:paraId="3E37B291" w14:textId="701802D1" w:rsidR="00D352E8" w:rsidRPr="00E50710" w:rsidRDefault="00B93C73" w:rsidP="002315DC">
      <w:pPr>
        <w:pStyle w:val="Checklist"/>
      </w:pPr>
      <w:sdt>
        <w:sdtPr>
          <w:id w:val="-1967647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2315DC">
        <w:t xml:space="preserve">When to begin a tapering protocol, what kind of tapering protocol, and what to do if the patient </w:t>
      </w:r>
      <w:r w:rsidR="000D5D07">
        <w:t>does</w:t>
      </w:r>
      <w:r w:rsidR="002315DC">
        <w:t xml:space="preserve"> not follow the tapering </w:t>
      </w:r>
      <w:r w:rsidR="000D5D07">
        <w:t>protocol</w:t>
      </w:r>
      <w:r w:rsidR="002315DC">
        <w:t xml:space="preserve">. (See model policy for recommended </w:t>
      </w:r>
      <w:r w:rsidR="00F37E27">
        <w:t xml:space="preserve">policy </w:t>
      </w:r>
      <w:r w:rsidR="002315DC">
        <w:t>approaches.)</w:t>
      </w:r>
    </w:p>
    <w:p w14:paraId="7D61D0BF" w14:textId="0C3E894B" w:rsidR="00F52514" w:rsidRDefault="006509FC" w:rsidP="00E16D10">
      <w:pPr>
        <w:pStyle w:val="Heading3"/>
      </w:pPr>
      <w:r w:rsidRPr="00194549">
        <w:t>Use of n</w:t>
      </w:r>
      <w:r w:rsidR="00323C06">
        <w:t>aloxone</w:t>
      </w:r>
    </w:p>
    <w:p w14:paraId="443C417F" w14:textId="52A0822A" w:rsidR="00D74B18" w:rsidRPr="00D74B18" w:rsidRDefault="00B93C73" w:rsidP="00D74B18">
      <w:pPr>
        <w:pStyle w:val="Checklist"/>
      </w:pPr>
      <w:sdt>
        <w:sdtPr>
          <w:id w:val="78993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D74B18" w:rsidRPr="00480C09">
        <w:t>Prescribe naloxone</w:t>
      </w:r>
      <w:r w:rsidR="00D74B18" w:rsidRPr="00802FEE">
        <w:t xml:space="preserve"> (nasal or injectable) if the patient is prescribed ≥ 50 MED daily, is at risk for overdose, </w:t>
      </w:r>
      <w:r w:rsidR="00D00E78">
        <w:t xml:space="preserve">is </w:t>
      </w:r>
      <w:r w:rsidR="00D74B18" w:rsidRPr="00480C09">
        <w:t xml:space="preserve">on </w:t>
      </w:r>
      <w:r w:rsidR="00DE5ADD">
        <w:t>sedative</w:t>
      </w:r>
      <w:r w:rsidR="00480C09">
        <w:t>s</w:t>
      </w:r>
      <w:r w:rsidR="00D74B18" w:rsidRPr="00802FEE">
        <w:t>,</w:t>
      </w:r>
      <w:r w:rsidR="00480C09">
        <w:t xml:space="preserve"> has opioid use disorder,</w:t>
      </w:r>
      <w:r w:rsidR="00D74B18" w:rsidRPr="00802FEE">
        <w:t xml:space="preserve"> or is at risk of respiratory suppression due to sleep apnea or chronic lung disease.</w:t>
      </w:r>
    </w:p>
    <w:p w14:paraId="7F24666E" w14:textId="7AE1D188" w:rsidR="00F52514" w:rsidRDefault="00020A39" w:rsidP="00E16D10">
      <w:pPr>
        <w:pStyle w:val="Heading3"/>
      </w:pPr>
      <w:r>
        <w:t>Opioid use disorder</w:t>
      </w:r>
    </w:p>
    <w:p w14:paraId="594B36A9" w14:textId="6CA06549" w:rsidR="00F37E27" w:rsidRDefault="00B93C73" w:rsidP="00F37E27">
      <w:pPr>
        <w:pStyle w:val="Checklist"/>
      </w:pPr>
      <w:sdt>
        <w:sdtPr>
          <w:id w:val="-103982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F37E27">
        <w:t>Assess for opioid use disorder in the case of concerning behavior. Assess for p</w:t>
      </w:r>
      <w:r w:rsidR="00F37E27" w:rsidRPr="00F37E27">
        <w:t>otential for substance/opioid misuse, abuse, or disorder</w:t>
      </w:r>
      <w:r w:rsidR="00F37E27">
        <w:t xml:space="preserve"> at the first subacute or chronic pain visit.</w:t>
      </w:r>
    </w:p>
    <w:p w14:paraId="70095C39" w14:textId="77D9889E" w:rsidR="00D352E8" w:rsidRDefault="00B93C73" w:rsidP="00D352E8">
      <w:pPr>
        <w:pStyle w:val="Checklist"/>
      </w:pPr>
      <w:sdt>
        <w:sdtPr>
          <w:id w:val="147255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D74B18" w:rsidRPr="00A42244">
        <w:t xml:space="preserve">If you identify </w:t>
      </w:r>
      <w:r w:rsidR="00D74B18">
        <w:t xml:space="preserve">that </w:t>
      </w:r>
      <w:r w:rsidR="00D74B18" w:rsidRPr="00A42244">
        <w:t xml:space="preserve">a patient </w:t>
      </w:r>
      <w:r w:rsidR="00D74B18" w:rsidRPr="00020A39">
        <w:t>has opioid use disorder, discuss treatment</w:t>
      </w:r>
      <w:r w:rsidR="00D74B18" w:rsidRPr="00A42244">
        <w:t xml:space="preserve"> with buprenorphine or a referral to an opioid treatment program for methadone. Also</w:t>
      </w:r>
      <w:r w:rsidR="00D74B18">
        <w:t xml:space="preserve"> provide a referral to behavioral health services, if available</w:t>
      </w:r>
      <w:r w:rsidR="000D5D07">
        <w:t>.</w:t>
      </w:r>
      <w:r w:rsidR="00D352E8" w:rsidRPr="00F0384D" w:rsidDel="00695149">
        <w:t xml:space="preserve"> </w:t>
      </w:r>
    </w:p>
    <w:p w14:paraId="257ECB84" w14:textId="72809F6D" w:rsidR="00D802C0" w:rsidRDefault="00D802C0" w:rsidP="00D802C0">
      <w:pPr>
        <w:pStyle w:val="Heading3"/>
      </w:pPr>
      <w:r>
        <w:t>Pain specialist consultation</w:t>
      </w:r>
    </w:p>
    <w:p w14:paraId="5D769FF6" w14:textId="6093E17D" w:rsidR="00D802C0" w:rsidRDefault="00B93C73" w:rsidP="00D802C0">
      <w:pPr>
        <w:pStyle w:val="Checklist"/>
      </w:pPr>
      <w:sdt>
        <w:sdtPr>
          <w:id w:val="-75158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D802C0">
        <w:t xml:space="preserve">If </w:t>
      </w:r>
      <w:r w:rsidR="00D802C0" w:rsidRPr="00802FEE">
        <w:t xml:space="preserve">the patient </w:t>
      </w:r>
      <w:r w:rsidR="00D00E78">
        <w:t>is taking opioid medication at</w:t>
      </w:r>
      <w:r w:rsidR="00D802C0" w:rsidRPr="00802FEE">
        <w:t xml:space="preserve"> a</w:t>
      </w:r>
      <w:r w:rsidR="00D00E78">
        <w:t>n</w:t>
      </w:r>
      <w:r w:rsidR="00D802C0" w:rsidRPr="00802FEE">
        <w:t xml:space="preserve"> MED ≥ 90, </w:t>
      </w:r>
      <w:r w:rsidR="00D802C0">
        <w:t>consid</w:t>
      </w:r>
      <w:r w:rsidR="00D802C0" w:rsidRPr="00D802C0">
        <w:t xml:space="preserve">er a pain specialist consultation. A pain specialist consultation is required at a dose of ≥ 120 MED/day unless </w:t>
      </w:r>
      <w:r w:rsidR="00D00E78">
        <w:t xml:space="preserve">the patient is </w:t>
      </w:r>
      <w:r w:rsidR="00D802C0" w:rsidRPr="00D802C0">
        <w:t>f</w:t>
      </w:r>
      <w:r w:rsidR="00D802C0" w:rsidRPr="00802FEE">
        <w:t xml:space="preserve">ollowing a tapering schedule, treatment is for short-term acute pain, pain and function </w:t>
      </w:r>
      <w:r w:rsidR="00D00E78">
        <w:t xml:space="preserve">are </w:t>
      </w:r>
      <w:r w:rsidR="00D802C0" w:rsidRPr="00802FEE">
        <w:t xml:space="preserve">stable with a non-escalating dose, or reasonable attempts to obtain consultation </w:t>
      </w:r>
      <w:r w:rsidR="00D00E78">
        <w:t xml:space="preserve">have </w:t>
      </w:r>
      <w:r w:rsidR="00D802C0" w:rsidRPr="00802FEE">
        <w:t>failed.</w:t>
      </w:r>
    </w:p>
    <w:p w14:paraId="186BAC96" w14:textId="45CEF5F3" w:rsidR="00E16D10" w:rsidRDefault="00E16D10" w:rsidP="00D802C0">
      <w:pPr>
        <w:pStyle w:val="Heading3"/>
      </w:pPr>
      <w:r>
        <w:t>Documentation</w:t>
      </w:r>
    </w:p>
    <w:p w14:paraId="3613CC77" w14:textId="1A706E9C" w:rsidR="000B0BDD" w:rsidRDefault="00B93C73" w:rsidP="00D802C0">
      <w:pPr>
        <w:pStyle w:val="Checklist"/>
      </w:pPr>
      <w:sdt>
        <w:sdtPr>
          <w:id w:val="-205106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0B0BDD">
        <w:t>Transitions from acute to subacute to chronic pain treatment</w:t>
      </w:r>
    </w:p>
    <w:p w14:paraId="5AE95B49" w14:textId="27E71710" w:rsidR="000B0BDD" w:rsidRPr="000B0BDD" w:rsidRDefault="00B93C73" w:rsidP="00D802C0">
      <w:pPr>
        <w:pStyle w:val="Checklist"/>
      </w:pPr>
      <w:sdt>
        <w:sdtPr>
          <w:id w:val="154633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hyperlink w:anchor="_Appendix_A:_Risk" w:history="1">
        <w:r w:rsidR="000B0BDD" w:rsidRPr="000B0BDD">
          <w:t>Risk level</w:t>
        </w:r>
      </w:hyperlink>
      <w:r w:rsidR="000B0BDD" w:rsidRPr="000B0BDD">
        <w:t xml:space="preserve"> and related intervals for pain visits </w:t>
      </w:r>
    </w:p>
    <w:p w14:paraId="455FECEA" w14:textId="34BA60D1" w:rsidR="000B0BDD" w:rsidRPr="000B0BDD" w:rsidRDefault="00B93C73" w:rsidP="00D802C0">
      <w:pPr>
        <w:pStyle w:val="Checklist"/>
      </w:pPr>
      <w:sdt>
        <w:sdtPr>
          <w:id w:val="20653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0B0BDD">
        <w:t>Specific d</w:t>
      </w:r>
      <w:r w:rsidR="000B0BDD" w:rsidRPr="000B0BDD">
        <w:t>iagnosis</w:t>
      </w:r>
      <w:r w:rsidR="000B0BDD">
        <w:t xml:space="preserve"> for pain that will benefit from opioid medication</w:t>
      </w:r>
    </w:p>
    <w:p w14:paraId="0C10AE58" w14:textId="4C6F7465" w:rsidR="000B0BDD" w:rsidRPr="000B0BDD" w:rsidRDefault="00B93C73" w:rsidP="00D802C0">
      <w:pPr>
        <w:pStyle w:val="Checklist"/>
      </w:pPr>
      <w:sdt>
        <w:sdtPr>
          <w:id w:val="190834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0B0BDD" w:rsidRPr="000B0BDD">
        <w:t>Plan for treatment (e.g., physical therapy, opioid medication</w:t>
      </w:r>
      <w:r w:rsidR="00D00E78">
        <w:t>, non-opioid pharmacologic therapies</w:t>
      </w:r>
      <w:r w:rsidR="000B0BDD" w:rsidRPr="000B0BDD">
        <w:t>)</w:t>
      </w:r>
    </w:p>
    <w:p w14:paraId="4BF85018" w14:textId="1944E471" w:rsidR="000B0BDD" w:rsidRPr="000B0BDD" w:rsidRDefault="00B93C73" w:rsidP="00D802C0">
      <w:pPr>
        <w:pStyle w:val="Checklist"/>
      </w:pPr>
      <w:sdt>
        <w:sdtPr>
          <w:id w:val="-77231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0B0BDD" w:rsidRPr="000B0BDD">
        <w:t>Why the patient’s level of function or pain control justifies a continuation of opioids</w:t>
      </w:r>
    </w:p>
    <w:p w14:paraId="667E1F51" w14:textId="2CC07E77" w:rsidR="000B0BDD" w:rsidRDefault="00B93C73" w:rsidP="00D802C0">
      <w:pPr>
        <w:pStyle w:val="Checklist"/>
      </w:pPr>
      <w:sdt>
        <w:sdtPr>
          <w:id w:val="62327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0B0BDD" w:rsidRPr="000B0BDD">
        <w:t>That you educated the patient about risks, storage, and safe disposal</w:t>
      </w:r>
    </w:p>
    <w:p w14:paraId="65B6AA89" w14:textId="2609FC62" w:rsidR="00DE5ADD" w:rsidRPr="000B0BDD" w:rsidRDefault="00B93C73" w:rsidP="00D802C0">
      <w:pPr>
        <w:pStyle w:val="Checklist"/>
      </w:pPr>
      <w:sdt>
        <w:sdtPr>
          <w:id w:val="26396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DE5ADD">
        <w:t>Concerns discovered when checking the PDMP</w:t>
      </w:r>
    </w:p>
    <w:p w14:paraId="0F845A31" w14:textId="6CDBF201" w:rsidR="000B0BDD" w:rsidRPr="000B0BDD" w:rsidRDefault="00B93C73" w:rsidP="00D802C0">
      <w:pPr>
        <w:pStyle w:val="Checklist"/>
      </w:pPr>
      <w:sdt>
        <w:sdtPr>
          <w:id w:val="121029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0B0BDD" w:rsidRPr="000B0BDD">
        <w:t>Patient agreement signed</w:t>
      </w:r>
    </w:p>
    <w:p w14:paraId="4AD4EA29" w14:textId="1D89A19D" w:rsidR="00AC662F" w:rsidRPr="00E96BA9" w:rsidRDefault="00B93C73" w:rsidP="009305CC">
      <w:pPr>
        <w:pStyle w:val="Checklist"/>
      </w:pPr>
      <w:sdt>
        <w:sdtPr>
          <w:id w:val="1897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366">
            <w:rPr>
              <w:rFonts w:ascii="MS Gothic" w:eastAsia="MS Gothic" w:hAnsi="MS Gothic" w:hint="eastAsia"/>
            </w:rPr>
            <w:t>☐</w:t>
          </w:r>
        </w:sdtContent>
      </w:sdt>
      <w:r w:rsidR="006A4366">
        <w:t xml:space="preserve"> </w:t>
      </w:r>
      <w:r w:rsidR="009305CC">
        <w:t>Justification for c</w:t>
      </w:r>
      <w:r w:rsidR="000B0BDD" w:rsidRPr="000B0BDD">
        <w:t>o-prescribing benzodiazepines, barbiturates, sedatives, carisoprodol, or non-benzodiazepine hypnotics</w:t>
      </w:r>
      <w:r w:rsidR="009305CC">
        <w:t>; a</w:t>
      </w:r>
      <w:r w:rsidR="000B0BDD" w:rsidRPr="000B0BDD">
        <w:t>n opioid dosage ≥50 MED</w:t>
      </w:r>
      <w:r w:rsidR="009305CC">
        <w:t>; a</w:t>
      </w:r>
      <w:r w:rsidR="000B0BDD" w:rsidRPr="000B0BDD">
        <w:t>ny deviation from clinic policies</w:t>
      </w:r>
    </w:p>
    <w:sectPr w:rsidR="00AC662F" w:rsidRPr="00E96BA9" w:rsidSect="00E42C39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8341CD" w16cid:durableId="20870041"/>
  <w16cid:commentId w16cid:paraId="312DBD60" w16cid:durableId="20870025"/>
  <w16cid:commentId w16cid:paraId="6BBA1E12" w16cid:durableId="208700AA"/>
  <w16cid:commentId w16cid:paraId="64C36D6F" w16cid:durableId="2087074F"/>
  <w16cid:commentId w16cid:paraId="5BDC5C3B" w16cid:durableId="20870026"/>
  <w16cid:commentId w16cid:paraId="606C9456" w16cid:durableId="20870162"/>
  <w16cid:commentId w16cid:paraId="62468C07" w16cid:durableId="20870027"/>
  <w16cid:commentId w16cid:paraId="415A3FBC" w16cid:durableId="20870192"/>
  <w16cid:commentId w16cid:paraId="6FF677B5" w16cid:durableId="20870217"/>
  <w16cid:commentId w16cid:paraId="22B350CE" w16cid:durableId="20870261"/>
  <w16cid:commentId w16cid:paraId="34BC8C46" w16cid:durableId="20870028"/>
  <w16cid:commentId w16cid:paraId="672F84DB" w16cid:durableId="2087032C"/>
  <w16cid:commentId w16cid:paraId="4030F88F" w16cid:durableId="20870029"/>
  <w16cid:commentId w16cid:paraId="3FC12A1C" w16cid:durableId="2087040D"/>
  <w16cid:commentId w16cid:paraId="73EF9F78" w16cid:durableId="20870444"/>
  <w16cid:commentId w16cid:paraId="782292B0" w16cid:durableId="2087002A"/>
  <w16cid:commentId w16cid:paraId="6529191A" w16cid:durableId="20870494"/>
  <w16cid:commentId w16cid:paraId="2BCBA38E" w16cid:durableId="208704AF"/>
  <w16cid:commentId w16cid:paraId="654DAF2A" w16cid:durableId="2087002B"/>
  <w16cid:commentId w16cid:paraId="364CA97C" w16cid:durableId="208704F4"/>
  <w16cid:commentId w16cid:paraId="62AEC7E5" w16cid:durableId="2087002C"/>
  <w16cid:commentId w16cid:paraId="5D08C5B4" w16cid:durableId="20870555"/>
  <w16cid:commentId w16cid:paraId="0F5C9F8B" w16cid:durableId="2087002D"/>
  <w16cid:commentId w16cid:paraId="58915FC5" w16cid:durableId="208706A5"/>
  <w16cid:commentId w16cid:paraId="3018CD8D" w16cid:durableId="2087002E"/>
  <w16cid:commentId w16cid:paraId="2AF358A8" w16cid:durableId="2087062E"/>
  <w16cid:commentId w16cid:paraId="2D7E0E4A" w16cid:durableId="20870659"/>
  <w16cid:commentId w16cid:paraId="5F192148" w16cid:durableId="208706FC"/>
  <w16cid:commentId w16cid:paraId="7E3C9134" w16cid:durableId="208706EC"/>
  <w16cid:commentId w16cid:paraId="12D1BEEE" w16cid:durableId="2087002F"/>
  <w16cid:commentId w16cid:paraId="10DEB8D5" w16cid:durableId="208707E8"/>
  <w16cid:commentId w16cid:paraId="71F07BA1" w16cid:durableId="2087086C"/>
  <w16cid:commentId w16cid:paraId="5D42C2A2" w16cid:durableId="20870030"/>
  <w16cid:commentId w16cid:paraId="1BB4B61F" w16cid:durableId="2087085E"/>
  <w16cid:commentId w16cid:paraId="28EBA448" w16cid:durableId="208708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A4CB9" w14:textId="77777777" w:rsidR="00CE1772" w:rsidRDefault="00CE1772" w:rsidP="008C73A4">
      <w:r>
        <w:separator/>
      </w:r>
    </w:p>
  </w:endnote>
  <w:endnote w:type="continuationSeparator" w:id="0">
    <w:p w14:paraId="3FABC7D9" w14:textId="77777777" w:rsidR="00CE1772" w:rsidRDefault="00CE1772" w:rsidP="008C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YPost-Light">
    <w:altName w:val="Batang"/>
    <w:charset w:val="81"/>
    <w:family w:val="roman"/>
    <w:pitch w:val="default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508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24A0F6" w14:textId="2BDCF155" w:rsidR="00E42C39" w:rsidRDefault="00E42C39" w:rsidP="00E42C39">
        <w:pPr>
          <w:pStyle w:val="Footer"/>
          <w:ind w:left="1440"/>
          <w:jc w:val="right"/>
          <w:rPr>
            <w:rStyle w:val="Hyperlink"/>
            <w:rFonts w:cs="Times New Roman (Body CS)"/>
            <w:sz w:val="16"/>
            <w:szCs w:val="16"/>
            <w14:numForm w14:val="lining"/>
          </w:rPr>
        </w:pPr>
        <w:r>
          <w:rPr>
            <w:noProof/>
          </w:rPr>
          <w:drawing>
            <wp:anchor distT="0" distB="0" distL="114300" distR="114300" simplePos="0" relativeHeight="251669504" behindDoc="1" locked="0" layoutInCell="0" allowOverlap="1" wp14:anchorId="7658A3D6" wp14:editId="65F9D415">
              <wp:simplePos x="0" y="0"/>
              <wp:positionH relativeFrom="margin">
                <wp:posOffset>-705678</wp:posOffset>
              </wp:positionH>
              <wp:positionV relativeFrom="topMargin">
                <wp:posOffset>9076966</wp:posOffset>
              </wp:positionV>
              <wp:extent cx="1300870" cy="799106"/>
              <wp:effectExtent l="0" t="0" r="0" b="127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title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230" t="58682" r="9411" b="2222"/>
                      <a:stretch/>
                    </pic:blipFill>
                    <pic:spPr bwMode="auto">
                      <a:xfrm>
                        <a:off x="0" y="0"/>
                        <a:ext cx="1300870" cy="79910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Style w:val="Hyperlink"/>
            <w:rFonts w:cs="Times New Roman (Body CS)"/>
            <w:sz w:val="16"/>
            <w:szCs w:val="16"/>
            <w14:numForm w14:val="lining"/>
          </w:rPr>
          <w:t xml:space="preserve"> </w:t>
        </w:r>
      </w:p>
      <w:p w14:paraId="530B1DA0" w14:textId="5C90062D" w:rsidR="00E42C39" w:rsidRDefault="008350F3" w:rsidP="00E42C39">
        <w:pPr>
          <w:pStyle w:val="Footer"/>
          <w:pBdr>
            <w:top w:val="dotted" w:sz="12" w:space="1" w:color="BFBFBF" w:themeColor="text1" w:themeTint="40"/>
          </w:pBdr>
          <w:ind w:left="1440"/>
          <w:jc w:val="right"/>
          <w:rPr>
            <w:noProof/>
          </w:rPr>
        </w:pPr>
        <w:r w:rsidRPr="0045554A">
          <w:rPr>
            <w:noProof/>
          </w:rPr>
          <w:drawing>
            <wp:anchor distT="0" distB="0" distL="114300" distR="114300" simplePos="0" relativeHeight="251667456" behindDoc="0" locked="0" layoutInCell="1" allowOverlap="1" wp14:anchorId="57F13F8E" wp14:editId="5283575C">
              <wp:simplePos x="0" y="0"/>
              <wp:positionH relativeFrom="margin">
                <wp:posOffset>5262245</wp:posOffset>
              </wp:positionH>
              <wp:positionV relativeFrom="page">
                <wp:posOffset>9347200</wp:posOffset>
              </wp:positionV>
              <wp:extent cx="710565" cy="250190"/>
              <wp:effectExtent l="0" t="0" r="0" b="0"/>
              <wp:wrapThrough wrapText="bothSides">
                <wp:wrapPolygon edited="0">
                  <wp:start x="0" y="0"/>
                  <wp:lineTo x="0" y="19736"/>
                  <wp:lineTo x="20847" y="19736"/>
                  <wp:lineTo x="20847" y="0"/>
                  <wp:lineTo x="0" y="0"/>
                </wp:wrapPolygon>
              </wp:wrapThrough>
              <wp:docPr id="5" name="Picture 5" descr="Creative Commons License">
                <a:hlinkClick xmlns:a="http://schemas.openxmlformats.org/drawingml/2006/main" r:id="rId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B5FA4A0" w14:textId="048E7926" w:rsidR="00E42C39" w:rsidRPr="007E5239" w:rsidRDefault="00E42C39" w:rsidP="00037BE1">
    <w:pPr>
      <w:pStyle w:val="Footer"/>
      <w:pBdr>
        <w:top w:val="dotted" w:sz="12" w:space="1" w:color="BFBFBF" w:themeColor="text1" w:themeTint="40"/>
      </w:pBdr>
      <w:spacing w:after="0" w:line="240" w:lineRule="auto"/>
      <w:ind w:left="1440"/>
      <w:jc w:val="right"/>
      <w:rPr>
        <w:rFonts w:cs="Times New Roman (Body CS)"/>
        <w:color w:val="000000" w:themeColor="text1"/>
        <w:sz w:val="16"/>
        <w:szCs w:val="16"/>
        <w14:numForm w14:val="lining"/>
      </w:rPr>
    </w:pPr>
    <w:r>
      <w:rPr>
        <w:rFonts w:cs="Times New Roman (Body CS)"/>
        <w:color w:val="000000" w:themeColor="text1"/>
        <w:sz w:val="16"/>
        <w:szCs w:val="16"/>
        <w14:numForm w14:val="lining"/>
      </w:rPr>
      <w:t xml:space="preserve">SIX BUILDING BLOCKS: OPIOID POLICY </w:t>
    </w:r>
    <w:proofErr w:type="gramStart"/>
    <w:r>
      <w:rPr>
        <w:rFonts w:cs="Times New Roman (Body CS)"/>
        <w:color w:val="000000" w:themeColor="text1"/>
        <w:sz w:val="16"/>
        <w:szCs w:val="16"/>
        <w14:numForm w14:val="lining"/>
      </w:rPr>
      <w:t>C</w:t>
    </w:r>
    <w:r w:rsidR="008350F3">
      <w:rPr>
        <w:rFonts w:cs="Times New Roman (Body CS)"/>
        <w:color w:val="000000" w:themeColor="text1"/>
        <w:sz w:val="16"/>
        <w:szCs w:val="16"/>
        <w14:numForm w14:val="lining"/>
      </w:rPr>
      <w:t>HECKLIST  |</w:t>
    </w:r>
    <w:proofErr w:type="gramEnd"/>
    <w:r w:rsidR="008350F3">
      <w:rPr>
        <w:rFonts w:cs="Times New Roman (Body CS)"/>
        <w:color w:val="000000" w:themeColor="text1"/>
        <w:sz w:val="16"/>
        <w:szCs w:val="16"/>
        <w14:numForm w14:val="lining"/>
      </w:rPr>
      <w:t xml:space="preserve">  VERSION  2019.0</w:t>
    </w:r>
    <w:r w:rsidR="00037BE1">
      <w:rPr>
        <w:rFonts w:cs="Times New Roman (Body CS)"/>
        <w:color w:val="000000" w:themeColor="text1"/>
        <w:sz w:val="16"/>
        <w:szCs w:val="16"/>
        <w14:numForm w14:val="lining"/>
      </w:rPr>
      <w:t>5</w:t>
    </w:r>
    <w:r w:rsidR="008350F3">
      <w:rPr>
        <w:rFonts w:cs="Times New Roman (Body CS)"/>
        <w:color w:val="000000" w:themeColor="text1"/>
        <w:sz w:val="16"/>
        <w:szCs w:val="16"/>
        <w14:numForm w14:val="lining"/>
      </w:rPr>
      <w:t>.3</w:t>
    </w:r>
    <w:r w:rsidR="00037BE1">
      <w:rPr>
        <w:rFonts w:cs="Times New Roman (Body CS)"/>
        <w:color w:val="000000" w:themeColor="text1"/>
        <w:sz w:val="16"/>
        <w:szCs w:val="16"/>
        <w14:numForm w14:val="lining"/>
      </w:rPr>
      <w:t>0</w:t>
    </w:r>
  </w:p>
  <w:p w14:paraId="65463591" w14:textId="768FF812" w:rsidR="008C73A4" w:rsidRPr="00E42C39" w:rsidRDefault="00E42C39" w:rsidP="00037BE1">
    <w:pPr>
      <w:spacing w:after="0" w:line="240" w:lineRule="auto"/>
      <w:ind w:firstLine="907"/>
      <w:jc w:val="right"/>
      <w:rPr>
        <w:rFonts w:cs="Times New Roman (Body CS)"/>
        <w:color w:val="404040" w:themeColor="text1" w:themeTint="BF"/>
        <w:sz w:val="16"/>
        <w:szCs w:val="16"/>
        <w:u w:val="dotted"/>
        <w14:numForm w14:val="lining"/>
      </w:rPr>
    </w:pPr>
    <w:r>
      <w:rPr>
        <w:rFonts w:cs="Times New Roman (Body CS)"/>
        <w:color w:val="000000" w:themeColor="text1"/>
        <w:sz w:val="16"/>
        <w:szCs w:val="16"/>
        <w14:numForm w14:val="lining"/>
      </w:rPr>
      <w:t xml:space="preserve">LICENSED UNDER A </w:t>
    </w:r>
    <w:hyperlink r:id="rId4" w:history="1">
      <w:r w:rsidRPr="001F38F7">
        <w:rPr>
          <w:rStyle w:val="Hyperlink"/>
          <w:rFonts w:cs="Times New Roman (Body CS)"/>
          <w:sz w:val="16"/>
          <w:szCs w:val="16"/>
          <w14:numForm w14:val="lining"/>
        </w:rPr>
        <w:t>CREATIVE COMMONS BY-NC-ND 4.0 INTERNATIONAL LICENSE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05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AEDB3" w14:textId="5F75F03C" w:rsidR="00E42C39" w:rsidRPr="007E5239" w:rsidRDefault="00E42C39" w:rsidP="00037BE1">
        <w:pPr>
          <w:pStyle w:val="Footer"/>
          <w:pBdr>
            <w:top w:val="dotted" w:sz="12" w:space="1" w:color="BFBFBF" w:themeColor="text1" w:themeTint="40"/>
          </w:pBdr>
          <w:spacing w:after="0" w:line="240" w:lineRule="auto"/>
          <w:ind w:left="1440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 w:rsidRPr="0045554A">
          <w:rPr>
            <w:noProof/>
          </w:rPr>
          <w:drawing>
            <wp:anchor distT="0" distB="0" distL="114300" distR="114300" simplePos="0" relativeHeight="251665408" behindDoc="0" locked="0" layoutInCell="1" allowOverlap="1" wp14:anchorId="78DDFDF6" wp14:editId="2C7E5815">
              <wp:simplePos x="0" y="0"/>
              <wp:positionH relativeFrom="margin">
                <wp:posOffset>5628980</wp:posOffset>
              </wp:positionH>
              <wp:positionV relativeFrom="page">
                <wp:posOffset>9023350</wp:posOffset>
              </wp:positionV>
              <wp:extent cx="710565" cy="250190"/>
              <wp:effectExtent l="0" t="0" r="0" b="0"/>
              <wp:wrapThrough wrapText="bothSides">
                <wp:wrapPolygon edited="0">
                  <wp:start x="0" y="0"/>
                  <wp:lineTo x="0" y="19736"/>
                  <wp:lineTo x="20847" y="19736"/>
                  <wp:lineTo x="20847" y="0"/>
                  <wp:lineTo x="0" y="0"/>
                </wp:wrapPolygon>
              </wp:wrapThrough>
              <wp:docPr id="12" name="Picture 12" descr="Creative Commons License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SIX BUILDING BLOCKS: OPIOID POLICY </w:t>
        </w:r>
        <w:proofErr w:type="gramStart"/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>C</w:t>
        </w:r>
        <w:r w:rsidR="00037BE1">
          <w:rPr>
            <w:rFonts w:cs="Times New Roman (Body CS)"/>
            <w:color w:val="000000" w:themeColor="text1"/>
            <w:sz w:val="16"/>
            <w:szCs w:val="16"/>
            <w14:numForm w14:val="lining"/>
          </w:rPr>
          <w:t>HECKLIST  |</w:t>
        </w:r>
        <w:proofErr w:type="gramEnd"/>
        <w:r w:rsidR="00037BE1"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 VERSION  2019.05</w:t>
        </w:r>
        <w:r w:rsidR="008350F3">
          <w:rPr>
            <w:rFonts w:cs="Times New Roman (Body CS)"/>
            <w:color w:val="000000" w:themeColor="text1"/>
            <w:sz w:val="16"/>
            <w:szCs w:val="16"/>
            <w14:numForm w14:val="lining"/>
          </w:rPr>
          <w:t>.3</w:t>
        </w:r>
        <w:r w:rsidR="00037BE1">
          <w:rPr>
            <w:rFonts w:cs="Times New Roman (Body CS)"/>
            <w:color w:val="000000" w:themeColor="text1"/>
            <w:sz w:val="16"/>
            <w:szCs w:val="16"/>
            <w14:numForm w14:val="lining"/>
          </w:rPr>
          <w:t>0</w:t>
        </w:r>
      </w:p>
      <w:p w14:paraId="458DAEB7" w14:textId="47E439F7" w:rsidR="00E42C39" w:rsidRDefault="00F64FC8" w:rsidP="00037BE1">
        <w:pPr>
          <w:tabs>
            <w:tab w:val="left" w:pos="3195"/>
            <w:tab w:val="right" w:pos="9360"/>
          </w:tabs>
          <w:spacing w:after="0" w:line="240" w:lineRule="auto"/>
          <w:ind w:firstLine="907"/>
          <w:rPr>
            <w:rStyle w:val="Hyperlink"/>
            <w:rFonts w:cs="Times New Roman (Body CS)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ab/>
        </w: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ab/>
        </w:r>
        <w:r w:rsidR="00E42C39"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LICENSED UNDER A </w:t>
        </w:r>
        <w:hyperlink r:id="rId3" w:history="1">
          <w:r w:rsidR="00E42C39" w:rsidRPr="001F38F7">
            <w:rPr>
              <w:rStyle w:val="Hyperlink"/>
              <w:rFonts w:cs="Times New Roman (Body CS)"/>
              <w:sz w:val="16"/>
              <w:szCs w:val="16"/>
              <w14:numForm w14:val="lining"/>
            </w:rPr>
            <w:t>CREATIVE COMMONS BY-NC-ND 4.0 INTERNATIONAL LICENSE</w:t>
          </w:r>
        </w:hyperlink>
      </w:p>
      <w:p w14:paraId="6E973DAB" w14:textId="3DDAA772" w:rsidR="00E42C39" w:rsidRPr="00E42C39" w:rsidRDefault="00E42C39" w:rsidP="00037BE1">
        <w:pPr>
          <w:spacing w:after="0" w:line="240" w:lineRule="auto"/>
          <w:jc w:val="right"/>
          <w:rPr>
            <w:i/>
            <w:sz w:val="12"/>
            <w:szCs w:val="12"/>
          </w:rPr>
        </w:pPr>
        <w:r>
          <w:rPr>
            <w:i/>
            <w:sz w:val="12"/>
            <w:szCs w:val="12"/>
          </w:rPr>
          <w:t>F</w:t>
        </w:r>
        <w:r w:rsidRPr="00E42C39">
          <w:rPr>
            <w:i/>
            <w:sz w:val="12"/>
            <w:szCs w:val="12"/>
          </w:rPr>
          <w:t>und</w:t>
        </w:r>
        <w:r>
          <w:rPr>
            <w:i/>
            <w:sz w:val="12"/>
            <w:szCs w:val="12"/>
          </w:rPr>
          <w:t>ed</w:t>
        </w:r>
        <w:r w:rsidRPr="00E42C39">
          <w:rPr>
            <w:i/>
            <w:sz w:val="12"/>
            <w:szCs w:val="12"/>
          </w:rPr>
          <w:t xml:space="preserve"> </w:t>
        </w:r>
        <w:r>
          <w:rPr>
            <w:i/>
            <w:sz w:val="12"/>
            <w:szCs w:val="12"/>
          </w:rPr>
          <w:t>by</w:t>
        </w:r>
        <w:r w:rsidR="00806FE0">
          <w:rPr>
            <w:i/>
            <w:sz w:val="12"/>
            <w:szCs w:val="12"/>
          </w:rPr>
          <w:t xml:space="preserve"> </w:t>
        </w:r>
        <w:r w:rsidRPr="00E42C39">
          <w:rPr>
            <w:i/>
            <w:sz w:val="12"/>
            <w:szCs w:val="12"/>
          </w:rPr>
          <w:t>Agency for Healthcare R</w:t>
        </w:r>
        <w:r w:rsidR="00806FE0">
          <w:rPr>
            <w:i/>
            <w:sz w:val="12"/>
            <w:szCs w:val="12"/>
          </w:rPr>
          <w:t>esearch &amp; Quality (#</w:t>
        </w:r>
        <w:r w:rsidR="00806FE0" w:rsidRPr="00E42C39">
          <w:rPr>
            <w:i/>
            <w:sz w:val="12"/>
            <w:szCs w:val="12"/>
          </w:rPr>
          <w:t>R18HS023750</w:t>
        </w:r>
        <w:r w:rsidR="00806FE0">
          <w:rPr>
            <w:i/>
            <w:sz w:val="12"/>
            <w:szCs w:val="12"/>
          </w:rPr>
          <w:t>,</w:t>
        </w:r>
        <w:r w:rsidRPr="00E42C39">
          <w:rPr>
            <w:i/>
            <w:sz w:val="12"/>
            <w:szCs w:val="12"/>
          </w:rPr>
          <w:t xml:space="preserve"> </w:t>
        </w:r>
        <w:r w:rsidR="00806FE0">
          <w:rPr>
            <w:i/>
            <w:sz w:val="12"/>
            <w:szCs w:val="12"/>
          </w:rPr>
          <w:t>#</w:t>
        </w:r>
        <w:r w:rsidRPr="00E42C39">
          <w:rPr>
            <w:i/>
            <w:sz w:val="12"/>
            <w:szCs w:val="12"/>
          </w:rPr>
          <w:t>HHSP2</w:t>
        </w:r>
        <w:r w:rsidR="009C290E">
          <w:rPr>
            <w:i/>
            <w:sz w:val="12"/>
            <w:szCs w:val="12"/>
          </w:rPr>
          <w:t>33201500013I</w:t>
        </w:r>
        <w:r w:rsidR="00806FE0">
          <w:rPr>
            <w:i/>
            <w:sz w:val="12"/>
            <w:szCs w:val="12"/>
          </w:rPr>
          <w:t xml:space="preserve">), </w:t>
        </w:r>
        <w:r w:rsidRPr="00E42C39">
          <w:rPr>
            <w:i/>
            <w:sz w:val="12"/>
            <w:szCs w:val="12"/>
          </w:rPr>
          <w:t>Washington State Department of Health (</w:t>
        </w:r>
        <w:r w:rsidR="00806FE0">
          <w:rPr>
            <w:i/>
            <w:sz w:val="12"/>
            <w:szCs w:val="12"/>
          </w:rPr>
          <w:t>CDC #5 NU17CE002734</w:t>
        </w:r>
        <w:r w:rsidRPr="00E42C39">
          <w:rPr>
            <w:i/>
            <w:sz w:val="12"/>
            <w:szCs w:val="12"/>
          </w:rPr>
          <w:t xml:space="preserve">), </w:t>
        </w:r>
        <w:r w:rsidR="009C290E" w:rsidRPr="009C290E">
          <w:rPr>
            <w:i/>
            <w:sz w:val="12"/>
            <w:szCs w:val="12"/>
          </w:rPr>
          <w:t>National Institute on Drug Abuse (#UG1DAO13714)</w:t>
        </w:r>
        <w:r w:rsidR="009C290E">
          <w:rPr>
            <w:i/>
            <w:sz w:val="12"/>
            <w:szCs w:val="12"/>
          </w:rPr>
          <w:t xml:space="preserve">, </w:t>
        </w:r>
        <w:r w:rsidRPr="00E42C39">
          <w:rPr>
            <w:i/>
            <w:sz w:val="12"/>
            <w:szCs w:val="12"/>
          </w:rPr>
          <w:t xml:space="preserve">and the Washington State’s Olympic Communities of Health. Its contents are solely the responsibility of the authors and do not necessarily represent the official views of </w:t>
        </w:r>
        <w:r w:rsidR="009C290E">
          <w:rPr>
            <w:i/>
            <w:sz w:val="12"/>
            <w:szCs w:val="12"/>
          </w:rPr>
          <w:t>AHRQ, WA DOH, NIDA, or WA DOH</w:t>
        </w:r>
        <w:r w:rsidRPr="00E42C39">
          <w:rPr>
            <w:i/>
            <w:sz w:val="12"/>
            <w:szCs w:val="12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92DBF" w14:textId="77777777" w:rsidR="00CE1772" w:rsidRDefault="00CE1772" w:rsidP="008C73A4">
      <w:r>
        <w:separator/>
      </w:r>
    </w:p>
  </w:footnote>
  <w:footnote w:type="continuationSeparator" w:id="0">
    <w:p w14:paraId="10409BF3" w14:textId="77777777" w:rsidR="00CE1772" w:rsidRDefault="00CE1772" w:rsidP="008C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2076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4A595E" w14:textId="1748C03A" w:rsidR="00E42C39" w:rsidRDefault="00E42C3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C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90C875" w14:textId="3184FF7E" w:rsidR="00E42C39" w:rsidRDefault="00E42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2054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D51764" w14:textId="6B6B4646" w:rsidR="005B5950" w:rsidRDefault="005B5950" w:rsidP="005B5950">
        <w:pPr>
          <w:pStyle w:val="Header"/>
          <w:jc w:val="right"/>
        </w:pPr>
        <w:r w:rsidRPr="005B5950">
          <w:rPr>
            <w:b/>
            <w:noProof/>
          </w:rPr>
          <w:drawing>
            <wp:anchor distT="0" distB="0" distL="114300" distR="114300" simplePos="0" relativeHeight="251671552" behindDoc="1" locked="0" layoutInCell="0" allowOverlap="1" wp14:anchorId="2FC9C6EF" wp14:editId="13C129EC">
              <wp:simplePos x="0" y="0"/>
              <wp:positionH relativeFrom="margin">
                <wp:posOffset>-774700</wp:posOffset>
              </wp:positionH>
              <wp:positionV relativeFrom="topMargin">
                <wp:posOffset>184151</wp:posOffset>
              </wp:positionV>
              <wp:extent cx="1397000" cy="858158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title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230" t="58682" r="9411" b="2222"/>
                      <a:stretch/>
                    </pic:blipFill>
                    <pic:spPr bwMode="auto">
                      <a:xfrm>
                        <a:off x="0" y="0"/>
                        <a:ext cx="1403449" cy="862119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5950">
          <w:rPr>
            <w:b/>
          </w:rPr>
          <w:t>1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D5A"/>
    <w:multiLevelType w:val="hybridMultilevel"/>
    <w:tmpl w:val="DD7EEBE6"/>
    <w:lvl w:ilvl="0" w:tplc="2CBC88D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0F00"/>
    <w:multiLevelType w:val="multilevel"/>
    <w:tmpl w:val="3CD4D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68522E"/>
    <w:multiLevelType w:val="multilevel"/>
    <w:tmpl w:val="D08E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E46AD6"/>
    <w:multiLevelType w:val="multilevel"/>
    <w:tmpl w:val="E648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B7D424B"/>
    <w:multiLevelType w:val="multilevel"/>
    <w:tmpl w:val="EDAC6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265409E"/>
    <w:multiLevelType w:val="multilevel"/>
    <w:tmpl w:val="46B6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7459F2"/>
    <w:multiLevelType w:val="hybridMultilevel"/>
    <w:tmpl w:val="27680644"/>
    <w:lvl w:ilvl="0" w:tplc="2CBC88D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F70D14"/>
    <w:multiLevelType w:val="multilevel"/>
    <w:tmpl w:val="CC70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0AA250F"/>
    <w:multiLevelType w:val="multilevel"/>
    <w:tmpl w:val="D772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1D71DE2"/>
    <w:multiLevelType w:val="hybridMultilevel"/>
    <w:tmpl w:val="1AF6A078"/>
    <w:lvl w:ilvl="0" w:tplc="65C22D84">
      <w:start w:val="1"/>
      <w:numFmt w:val="bullet"/>
      <w:pStyle w:val="Sub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030A2"/>
    <w:multiLevelType w:val="multilevel"/>
    <w:tmpl w:val="EA346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9103430"/>
    <w:multiLevelType w:val="multilevel"/>
    <w:tmpl w:val="872C200E"/>
    <w:lvl w:ilvl="0">
      <w:start w:val="1"/>
      <w:numFmt w:val="decimal"/>
      <w:pStyle w:val="Table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2BB14DF"/>
    <w:multiLevelType w:val="multilevel"/>
    <w:tmpl w:val="A8F66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9D633C4"/>
    <w:multiLevelType w:val="hybridMultilevel"/>
    <w:tmpl w:val="93AEECD6"/>
    <w:lvl w:ilvl="0" w:tplc="40D6E0B8">
      <w:start w:val="1"/>
      <w:numFmt w:val="bullet"/>
      <w:lvlText w:val=""/>
      <w:lvlJc w:val="left"/>
      <w:pPr>
        <w:ind w:left="360" w:hanging="360"/>
      </w:pPr>
      <w:rPr>
        <w:rFonts w:ascii="Wingdings" w:hAnsi="Wingdings" w:hint="default"/>
        <w:b/>
        <w:i w:val="0"/>
        <w:sz w:val="56"/>
        <w:szCs w:val="22"/>
        <w:u w:val="thick" w:color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A2215"/>
    <w:multiLevelType w:val="hybridMultilevel"/>
    <w:tmpl w:val="649897B6"/>
    <w:lvl w:ilvl="0" w:tplc="773CBBD2">
      <w:start w:val="1"/>
      <w:numFmt w:val="decimal"/>
      <w:pStyle w:val="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75C33"/>
    <w:multiLevelType w:val="hybridMultilevel"/>
    <w:tmpl w:val="9BE8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21E23"/>
    <w:multiLevelType w:val="hybridMultilevel"/>
    <w:tmpl w:val="FCFACC8E"/>
    <w:lvl w:ilvl="0" w:tplc="EF30C51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C0E0E"/>
    <w:multiLevelType w:val="multilevel"/>
    <w:tmpl w:val="E5D6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1"/>
  </w:num>
  <w:num w:numId="9">
    <w:abstractNumId w:val="7"/>
  </w:num>
  <w:num w:numId="10">
    <w:abstractNumId w:val="2"/>
  </w:num>
  <w:num w:numId="11">
    <w:abstractNumId w:val="15"/>
  </w:num>
  <w:num w:numId="12">
    <w:abstractNumId w:val="10"/>
  </w:num>
  <w:num w:numId="13">
    <w:abstractNumId w:val="8"/>
  </w:num>
  <w:num w:numId="14">
    <w:abstractNumId w:val="5"/>
  </w:num>
  <w:num w:numId="15">
    <w:abstractNumId w:val="4"/>
  </w:num>
  <w:num w:numId="16">
    <w:abstractNumId w:val="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CA"/>
    <w:rsid w:val="00020A39"/>
    <w:rsid w:val="0003471D"/>
    <w:rsid w:val="00037BE1"/>
    <w:rsid w:val="00076E5D"/>
    <w:rsid w:val="000B0BDD"/>
    <w:rsid w:val="000D5D07"/>
    <w:rsid w:val="000E02B7"/>
    <w:rsid w:val="000E5D73"/>
    <w:rsid w:val="000E6E9B"/>
    <w:rsid w:val="000F51B3"/>
    <w:rsid w:val="001074C6"/>
    <w:rsid w:val="00122E2B"/>
    <w:rsid w:val="0012798D"/>
    <w:rsid w:val="00194549"/>
    <w:rsid w:val="001E77F9"/>
    <w:rsid w:val="00206123"/>
    <w:rsid w:val="002315DC"/>
    <w:rsid w:val="00234485"/>
    <w:rsid w:val="0023594C"/>
    <w:rsid w:val="002872EE"/>
    <w:rsid w:val="00287BDD"/>
    <w:rsid w:val="002E259A"/>
    <w:rsid w:val="00316E72"/>
    <w:rsid w:val="00323C06"/>
    <w:rsid w:val="0035048E"/>
    <w:rsid w:val="00380800"/>
    <w:rsid w:val="00386305"/>
    <w:rsid w:val="003D5138"/>
    <w:rsid w:val="003F5654"/>
    <w:rsid w:val="0042586C"/>
    <w:rsid w:val="00426D50"/>
    <w:rsid w:val="00453F0B"/>
    <w:rsid w:val="00463309"/>
    <w:rsid w:val="00480C09"/>
    <w:rsid w:val="00533351"/>
    <w:rsid w:val="0053442D"/>
    <w:rsid w:val="005B5950"/>
    <w:rsid w:val="005E7565"/>
    <w:rsid w:val="005F62CA"/>
    <w:rsid w:val="006174CA"/>
    <w:rsid w:val="006509FC"/>
    <w:rsid w:val="006536B4"/>
    <w:rsid w:val="00675141"/>
    <w:rsid w:val="00681CC5"/>
    <w:rsid w:val="006A4366"/>
    <w:rsid w:val="006B23C0"/>
    <w:rsid w:val="006F281A"/>
    <w:rsid w:val="007064A2"/>
    <w:rsid w:val="00736DBE"/>
    <w:rsid w:val="0074488B"/>
    <w:rsid w:val="00763218"/>
    <w:rsid w:val="007E728F"/>
    <w:rsid w:val="008008B2"/>
    <w:rsid w:val="00806FE0"/>
    <w:rsid w:val="0082577E"/>
    <w:rsid w:val="008350F3"/>
    <w:rsid w:val="0084033D"/>
    <w:rsid w:val="00862B75"/>
    <w:rsid w:val="008951C9"/>
    <w:rsid w:val="008B286E"/>
    <w:rsid w:val="008C73A4"/>
    <w:rsid w:val="00901563"/>
    <w:rsid w:val="009305CC"/>
    <w:rsid w:val="00944C81"/>
    <w:rsid w:val="0099662B"/>
    <w:rsid w:val="009B6282"/>
    <w:rsid w:val="009C290E"/>
    <w:rsid w:val="009C7B90"/>
    <w:rsid w:val="009F302C"/>
    <w:rsid w:val="00AA2790"/>
    <w:rsid w:val="00AC662F"/>
    <w:rsid w:val="00AC74CC"/>
    <w:rsid w:val="00AF1E44"/>
    <w:rsid w:val="00AF2CAD"/>
    <w:rsid w:val="00AF4FA2"/>
    <w:rsid w:val="00B17012"/>
    <w:rsid w:val="00B71F7C"/>
    <w:rsid w:val="00B84A0A"/>
    <w:rsid w:val="00B93C73"/>
    <w:rsid w:val="00BA0B75"/>
    <w:rsid w:val="00BA2ABA"/>
    <w:rsid w:val="00BB150C"/>
    <w:rsid w:val="00BF45EA"/>
    <w:rsid w:val="00C057CA"/>
    <w:rsid w:val="00C16204"/>
    <w:rsid w:val="00C34138"/>
    <w:rsid w:val="00C76B85"/>
    <w:rsid w:val="00CD73A5"/>
    <w:rsid w:val="00CE1772"/>
    <w:rsid w:val="00CE7BF8"/>
    <w:rsid w:val="00D00E78"/>
    <w:rsid w:val="00D1188C"/>
    <w:rsid w:val="00D12D56"/>
    <w:rsid w:val="00D352E8"/>
    <w:rsid w:val="00D378BC"/>
    <w:rsid w:val="00D4694F"/>
    <w:rsid w:val="00D5169F"/>
    <w:rsid w:val="00D74B18"/>
    <w:rsid w:val="00D802C0"/>
    <w:rsid w:val="00DA572B"/>
    <w:rsid w:val="00DE5ADD"/>
    <w:rsid w:val="00DE7300"/>
    <w:rsid w:val="00E16D10"/>
    <w:rsid w:val="00E42C39"/>
    <w:rsid w:val="00E50710"/>
    <w:rsid w:val="00E75157"/>
    <w:rsid w:val="00E96BA9"/>
    <w:rsid w:val="00ED1930"/>
    <w:rsid w:val="00EF2E2B"/>
    <w:rsid w:val="00F1611B"/>
    <w:rsid w:val="00F16726"/>
    <w:rsid w:val="00F37E27"/>
    <w:rsid w:val="00F52514"/>
    <w:rsid w:val="00F61250"/>
    <w:rsid w:val="00F64FC8"/>
    <w:rsid w:val="00F81A2A"/>
    <w:rsid w:val="00F90F6B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C1135D"/>
  <w15:docId w15:val="{3BAEF7F3-E4DC-4B88-B432-8D6C08FB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BE1"/>
  </w:style>
  <w:style w:type="paragraph" w:styleId="Heading1">
    <w:name w:val="heading 1"/>
    <w:next w:val="BodyText"/>
    <w:link w:val="Heading1Char"/>
    <w:uiPriority w:val="9"/>
    <w:qFormat/>
    <w:rsid w:val="00037BE1"/>
    <w:pPr>
      <w:keepNext/>
      <w:keepLines/>
      <w:spacing w:before="120" w:after="120" w:line="240" w:lineRule="auto"/>
      <w:outlineLvl w:val="0"/>
    </w:pPr>
    <w:rPr>
      <w:rFonts w:ascii="Corbel" w:eastAsiaTheme="majorEastAsia" w:hAnsi="Corbel" w:cstheme="majorBidi"/>
      <w:sz w:val="52"/>
      <w:szCs w:val="32"/>
    </w:rPr>
  </w:style>
  <w:style w:type="paragraph" w:styleId="Heading2">
    <w:name w:val="heading 2"/>
    <w:next w:val="BodyText"/>
    <w:link w:val="Heading2Char"/>
    <w:uiPriority w:val="9"/>
    <w:unhideWhenUsed/>
    <w:qFormat/>
    <w:rsid w:val="00037BE1"/>
    <w:pPr>
      <w:keepNext/>
      <w:keepLines/>
      <w:spacing w:before="360" w:after="120" w:line="240" w:lineRule="auto"/>
      <w:outlineLvl w:val="1"/>
    </w:pPr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paragraph" w:styleId="Heading3">
    <w:name w:val="heading 3"/>
    <w:next w:val="BodyText"/>
    <w:link w:val="Heading3Char"/>
    <w:uiPriority w:val="9"/>
    <w:unhideWhenUsed/>
    <w:qFormat/>
    <w:rsid w:val="006A4366"/>
    <w:pPr>
      <w:keepNext/>
      <w:keepLines/>
      <w:spacing w:after="60"/>
      <w:outlineLvl w:val="2"/>
    </w:pPr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paragraph" w:styleId="Heading4">
    <w:name w:val="heading 4"/>
    <w:next w:val="Normal"/>
    <w:link w:val="Heading4Char"/>
    <w:uiPriority w:val="9"/>
    <w:unhideWhenUsed/>
    <w:rsid w:val="006A4366"/>
    <w:pPr>
      <w:keepNext/>
      <w:keepLines/>
      <w:spacing w:before="40" w:after="0"/>
      <w:outlineLvl w:val="3"/>
    </w:pPr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169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36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037B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37BE1"/>
  </w:style>
  <w:style w:type="paragraph" w:styleId="Title">
    <w:name w:val="Title"/>
    <w:basedOn w:val="Normal"/>
    <w:next w:val="Normal"/>
    <w:link w:val="TitleChar"/>
    <w:uiPriority w:val="10"/>
    <w:qFormat/>
    <w:rsid w:val="00C057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37BE1"/>
    <w:rPr>
      <w:rFonts w:ascii="Corbel" w:eastAsiaTheme="majorEastAsia" w:hAnsi="Corbel" w:cstheme="majorBidi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7BE1"/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paragraph" w:styleId="ListParagraph">
    <w:name w:val="List Paragraph"/>
    <w:basedOn w:val="Normal"/>
    <w:uiPriority w:val="34"/>
    <w:qFormat/>
    <w:rsid w:val="00C057C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A4366"/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paragraph" w:customStyle="1" w:styleId="Description">
    <w:name w:val="Description"/>
    <w:basedOn w:val="ListParagraph"/>
    <w:qFormat/>
    <w:rsid w:val="008B286E"/>
    <w:pPr>
      <w:ind w:left="360"/>
    </w:pPr>
    <w:rPr>
      <w:i/>
    </w:rPr>
  </w:style>
  <w:style w:type="paragraph" w:customStyle="1" w:styleId="Checklist">
    <w:name w:val="Checklist"/>
    <w:basedOn w:val="ListParagraph"/>
    <w:qFormat/>
    <w:rsid w:val="006A4366"/>
    <w:pPr>
      <w:ind w:left="288" w:hanging="288"/>
    </w:pPr>
  </w:style>
  <w:style w:type="character" w:customStyle="1" w:styleId="apple-converted-space">
    <w:name w:val="apple-converted-space"/>
    <w:basedOn w:val="DefaultParagraphFont"/>
    <w:rsid w:val="00DA572B"/>
  </w:style>
  <w:style w:type="paragraph" w:styleId="BalloonText">
    <w:name w:val="Balloon Text"/>
    <w:basedOn w:val="Normal"/>
    <w:link w:val="BalloonTextChar"/>
    <w:uiPriority w:val="99"/>
    <w:semiHidden/>
    <w:unhideWhenUsed/>
    <w:rsid w:val="00B170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4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366"/>
  </w:style>
  <w:style w:type="paragraph" w:styleId="Footer">
    <w:name w:val="footer"/>
    <w:basedOn w:val="Normal"/>
    <w:link w:val="FooterChar"/>
    <w:uiPriority w:val="99"/>
    <w:unhideWhenUsed/>
    <w:rsid w:val="006A4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366"/>
  </w:style>
  <w:style w:type="character" w:customStyle="1" w:styleId="Heading4Char">
    <w:name w:val="Heading 4 Char"/>
    <w:basedOn w:val="DefaultParagraphFont"/>
    <w:link w:val="Heading4"/>
    <w:uiPriority w:val="9"/>
    <w:rsid w:val="006A4366"/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36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basedOn w:val="Normal"/>
    <w:link w:val="BodyTextChar"/>
    <w:uiPriority w:val="99"/>
    <w:unhideWhenUsed/>
    <w:rsid w:val="0003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37BE1"/>
  </w:style>
  <w:style w:type="paragraph" w:customStyle="1" w:styleId="Heading3withcheckbox">
    <w:name w:val="Heading 3 with checkbox"/>
    <w:basedOn w:val="Heading3"/>
    <w:rsid w:val="006A4366"/>
    <w:pPr>
      <w:spacing w:before="360" w:after="120" w:line="240" w:lineRule="auto"/>
      <w:ind w:left="446" w:hanging="446"/>
    </w:pPr>
    <w:rPr>
      <w:rFonts w:cs="Times New Roman (Headings CS)"/>
      <w:bCs/>
      <w:color w:val="000000" w:themeColor="text1"/>
      <w:sz w:val="32"/>
      <w:szCs w:val="28"/>
      <w14:numForm w14:val="lining"/>
    </w:rPr>
  </w:style>
  <w:style w:type="paragraph" w:customStyle="1" w:styleId="Bullet">
    <w:name w:val="Bullet"/>
    <w:basedOn w:val="BodyText"/>
    <w:qFormat/>
    <w:rsid w:val="006A4366"/>
    <w:pPr>
      <w:numPr>
        <w:numId w:val="4"/>
      </w:numPr>
      <w:ind w:left="245" w:hanging="245"/>
      <w:contextualSpacing/>
    </w:pPr>
    <w:rPr>
      <w:color w:val="000000" w:themeColor="text1"/>
    </w:rPr>
  </w:style>
  <w:style w:type="paragraph" w:customStyle="1" w:styleId="Number">
    <w:name w:val="Number"/>
    <w:basedOn w:val="BodyText"/>
    <w:qFormat/>
    <w:rsid w:val="006A4366"/>
    <w:pPr>
      <w:numPr>
        <w:numId w:val="5"/>
      </w:numPr>
      <w:spacing w:after="60"/>
      <w:ind w:left="288" w:hanging="288"/>
    </w:pPr>
  </w:style>
  <w:style w:type="paragraph" w:customStyle="1" w:styleId="Checkablebox">
    <w:name w:val="Checkable box"/>
    <w:basedOn w:val="BodyText"/>
    <w:qFormat/>
    <w:rsid w:val="006A4366"/>
    <w:pPr>
      <w:contextualSpacing/>
    </w:pPr>
    <w:rPr>
      <w:color w:val="000000" w:themeColor="text1"/>
    </w:rPr>
  </w:style>
  <w:style w:type="paragraph" w:customStyle="1" w:styleId="Note">
    <w:name w:val="Note"/>
    <w:basedOn w:val="Normal"/>
    <w:qFormat/>
    <w:rsid w:val="006A4366"/>
    <w:pPr>
      <w:pBdr>
        <w:top w:val="single" w:sz="8" w:space="1" w:color="FFC000" w:themeColor="accent4"/>
        <w:bottom w:val="single" w:sz="8" w:space="1" w:color="FFC000" w:themeColor="accent4"/>
      </w:pBdr>
      <w:spacing w:before="240" w:after="240"/>
      <w:ind w:right="540"/>
    </w:pPr>
    <w:rPr>
      <w:rFonts w:eastAsiaTheme="minorEastAsia"/>
      <w:i/>
      <w:iCs/>
      <w:color w:val="323E4F" w:themeColor="text2" w:themeShade="BF"/>
      <w:sz w:val="20"/>
      <w:szCs w:val="18"/>
    </w:rPr>
  </w:style>
  <w:style w:type="paragraph" w:customStyle="1" w:styleId="Subbullet">
    <w:name w:val="Subbullet"/>
    <w:basedOn w:val="Bullet"/>
    <w:qFormat/>
    <w:rsid w:val="006A4366"/>
    <w:pPr>
      <w:numPr>
        <w:numId w:val="6"/>
      </w:numPr>
      <w:spacing w:line="240" w:lineRule="atLeast"/>
      <w:ind w:left="576" w:hanging="288"/>
    </w:pPr>
  </w:style>
  <w:style w:type="table" w:styleId="PlainTable1">
    <w:name w:val="Plain Table 1"/>
    <w:basedOn w:val="TableNormal"/>
    <w:uiPriority w:val="41"/>
    <w:rsid w:val="006A43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uiPriority w:val="99"/>
    <w:qFormat/>
    <w:rsid w:val="006A4366"/>
    <w:pPr>
      <w:spacing w:before="60" w:after="120" w:line="240" w:lineRule="auto"/>
    </w:pPr>
    <w:rPr>
      <w:rFonts w:ascii="Corbel" w:eastAsia="Calibri" w:hAnsi="Corbel" w:cs="Calibri"/>
      <w:color w:val="000000" w:themeColor="text1"/>
      <w:sz w:val="18"/>
    </w:rPr>
  </w:style>
  <w:style w:type="paragraph" w:customStyle="1" w:styleId="Tableheader">
    <w:name w:val="Table header"/>
    <w:basedOn w:val="Normal"/>
    <w:uiPriority w:val="99"/>
    <w:rsid w:val="006A4366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table" w:styleId="TableGrid">
    <w:name w:val="Table Grid"/>
    <w:basedOn w:val="TableNormal"/>
    <w:uiPriority w:val="39"/>
    <w:rsid w:val="006A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ofdocument">
    <w:name w:val="End of document"/>
    <w:basedOn w:val="Normal"/>
    <w:qFormat/>
    <w:rsid w:val="006A4366"/>
    <w:pPr>
      <w:spacing w:before="120" w:after="120"/>
      <w:outlineLvl w:val="5"/>
    </w:pPr>
    <w:rPr>
      <w:rFonts w:ascii="Corbel" w:eastAsia="Corbel" w:hAnsi="Corbel" w:cs="Times New Roman"/>
      <w:i/>
      <w:color w:val="FFFFFF"/>
      <w:shd w:val="clear" w:color="auto" w:fill="588ED2"/>
    </w:rPr>
  </w:style>
  <w:style w:type="paragraph" w:customStyle="1" w:styleId="HyperlinkStyle">
    <w:name w:val="Hyperlink Style"/>
    <w:basedOn w:val="BodyText"/>
    <w:qFormat/>
    <w:rsid w:val="006A4366"/>
    <w:pPr>
      <w:spacing w:after="0" w:line="240" w:lineRule="auto"/>
    </w:pPr>
    <w:rPr>
      <w:i/>
      <w:color w:val="323E4F" w:themeColor="text2" w:themeShade="BF"/>
    </w:rPr>
  </w:style>
  <w:style w:type="paragraph" w:customStyle="1" w:styleId="Quote">
    <w:name w:val="&quot;Quote&quot;"/>
    <w:qFormat/>
    <w:rsid w:val="00037BE1"/>
    <w:pPr>
      <w:pBdr>
        <w:left w:val="single" w:sz="48" w:space="13" w:color="F2BC41"/>
      </w:pBdr>
      <w:spacing w:before="240" w:after="0" w:line="240" w:lineRule="atLeast"/>
      <w:ind w:right="540" w:hanging="86"/>
    </w:pPr>
    <w:rPr>
      <w:rFonts w:ascii="Corbel" w:eastAsia="HYPost-Light" w:hAnsi="Corbel" w:cs="Times New Roman"/>
      <w:i/>
      <w:iCs/>
      <w:color w:val="5D8A93"/>
      <w:sz w:val="24"/>
    </w:rPr>
  </w:style>
  <w:style w:type="character" w:styleId="Hyperlink">
    <w:name w:val="Hyperlink"/>
    <w:basedOn w:val="DefaultParagraphFont"/>
    <w:uiPriority w:val="99"/>
    <w:unhideWhenUsed/>
    <w:qFormat/>
    <w:rsid w:val="006A4366"/>
    <w:rPr>
      <w:color w:val="404040" w:themeColor="text1" w:themeTint="BF"/>
      <w:u w:val="dotted"/>
    </w:rPr>
  </w:style>
  <w:style w:type="character" w:styleId="Emphasis">
    <w:name w:val="Emphasis"/>
    <w:basedOn w:val="DefaultParagraphFont"/>
    <w:uiPriority w:val="20"/>
    <w:qFormat/>
    <w:rsid w:val="006A4366"/>
    <w:rPr>
      <w:i/>
      <w:iCs/>
    </w:rPr>
  </w:style>
  <w:style w:type="paragraph" w:customStyle="1" w:styleId="tablehead">
    <w:name w:val="table head"/>
    <w:basedOn w:val="Normal"/>
    <w:uiPriority w:val="99"/>
    <w:rsid w:val="006A4366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Tablenumber">
    <w:name w:val="Table number"/>
    <w:basedOn w:val="Number"/>
    <w:qFormat/>
    <w:rsid w:val="006A4366"/>
    <w:pPr>
      <w:numPr>
        <w:numId w:val="18"/>
      </w:numPr>
      <w:ind w:left="245" w:hanging="245"/>
    </w:pPr>
    <w:rPr>
      <w:color w:val="000000" w:themeColor="text1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C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C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C8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16D10"/>
    <w:rPr>
      <w:b/>
      <w:bCs/>
      <w:color w:val="0070C0"/>
    </w:rPr>
  </w:style>
  <w:style w:type="table" w:customStyle="1" w:styleId="GridTable4-Accent11">
    <w:name w:val="Grid Table 4 - Accent 11"/>
    <w:basedOn w:val="TableNormal"/>
    <w:uiPriority w:val="49"/>
    <w:rsid w:val="00CD73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D5169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996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5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drugoverdose/prescribing/guideline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pts.washington.edu/fammed/improvingopioidcare/wp-content/uploads/sites/12/2019/05/Risk-Stratification-and-Opioid-Prescribing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pts.washington.edu/fammed/sixbuildingblocks/wp-content/uploads/sites/12/2018/02/List-of-sedatives-names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epts.washington.edu/fammed/improvingopioidcare/wp-content/uploads/sites/12/2019/05/Suggested-opioid-management-assessment-schedul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h.wa.gov/ForPublicHealthandHealthcareProviders/HealthcareProfessionsandFacilities/OpioidPrescribing" TargetMode="External"/><Relationship Id="rId14" Type="http://schemas.openxmlformats.org/officeDocument/2006/relationships/footer" Target="footer1.xml"/><Relationship Id="rId43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creativecommons.org/licenses/by-nc-sa/4.0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D9276-71EB-4614-B5EC-7640F413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GHC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Brooke Ike</dc:creator>
  <cp:lastModifiedBy>Brooke Ike</cp:lastModifiedBy>
  <cp:revision>6</cp:revision>
  <dcterms:created xsi:type="dcterms:W3CDTF">2019-07-03T18:45:00Z</dcterms:created>
  <dcterms:modified xsi:type="dcterms:W3CDTF">2019-09-12T17:35:00Z</dcterms:modified>
</cp:coreProperties>
</file>