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9F5987" w14:textId="77777777" w:rsidR="00B63212" w:rsidRPr="00B63212" w:rsidRDefault="00B63212" w:rsidP="00B63212">
      <w:pPr>
        <w:spacing w:before="100" w:beforeAutospacing="1" w:after="100" w:afterAutospacing="1"/>
        <w:jc w:val="center"/>
        <w:outlineLvl w:val="0"/>
        <w:rPr>
          <w:rFonts w:ascii="Times New Roman" w:hAnsi="Times New Roman" w:cs="Times New Roman"/>
          <w:b/>
          <w:bCs/>
          <w:color w:val="624F3F"/>
          <w:spacing w:val="15"/>
          <w:sz w:val="36"/>
          <w:szCs w:val="36"/>
        </w:rPr>
      </w:pPr>
      <w:bookmarkStart w:id="0" w:name="_GoBack"/>
      <w:bookmarkEnd w:id="0"/>
      <w:r w:rsidRPr="00B63212">
        <w:rPr>
          <w:rFonts w:ascii="Times New Roman" w:hAnsi="Times New Roman" w:cs="Times New Roman"/>
          <w:b/>
          <w:bCs/>
          <w:color w:val="624F3F"/>
          <w:spacing w:val="15"/>
          <w:sz w:val="36"/>
          <w:szCs w:val="36"/>
        </w:rPr>
        <w:t xml:space="preserve">Butte, Montana </w:t>
      </w:r>
    </w:p>
    <w:tbl>
      <w:tblPr>
        <w:tblW w:w="4500" w:type="pct"/>
        <w:jc w:val="center"/>
        <w:tblCellSpacing w:w="0" w:type="dxa"/>
        <w:tblCellMar>
          <w:left w:w="0" w:type="dxa"/>
          <w:right w:w="0" w:type="dxa"/>
        </w:tblCellMar>
        <w:tblLook w:val="04A0" w:firstRow="1" w:lastRow="0" w:firstColumn="1" w:lastColumn="0" w:noHBand="0" w:noVBand="1"/>
      </w:tblPr>
      <w:tblGrid>
        <w:gridCol w:w="5223"/>
        <w:gridCol w:w="3201"/>
      </w:tblGrid>
      <w:tr w:rsidR="00B63212" w:rsidRPr="00B63212" w14:paraId="78C05054" w14:textId="77777777" w:rsidTr="00B63212">
        <w:trPr>
          <w:tblCellSpacing w:w="0" w:type="dxa"/>
          <w:jc w:val="center"/>
        </w:trPr>
        <w:tc>
          <w:tcPr>
            <w:tcW w:w="3100" w:type="pct"/>
            <w:hideMark/>
          </w:tcPr>
          <w:p w14:paraId="3E3A60F7" w14:textId="77777777" w:rsidR="00B63212" w:rsidRPr="00B63212" w:rsidRDefault="00B63212" w:rsidP="00B63212">
            <w:pPr>
              <w:rPr>
                <w:rFonts w:ascii="Arial" w:eastAsia="Times New Roman" w:hAnsi="Arial" w:cs="Arial"/>
                <w:color w:val="4A3729"/>
                <w:sz w:val="18"/>
                <w:szCs w:val="18"/>
              </w:rPr>
            </w:pPr>
            <w:r w:rsidRPr="00B63212">
              <w:rPr>
                <w:rFonts w:ascii="Arial" w:eastAsia="Times New Roman" w:hAnsi="Arial" w:cs="Arial"/>
                <w:noProof/>
                <w:color w:val="4A3729"/>
                <w:sz w:val="18"/>
                <w:szCs w:val="18"/>
              </w:rPr>
              <w:drawing>
                <wp:inline distT="0" distB="0" distL="0" distR="0" wp14:anchorId="4FF83D48" wp14:editId="0153D325">
                  <wp:extent cx="3098800" cy="1663700"/>
                  <wp:effectExtent l="0" t="0" r="0" b="12700"/>
                  <wp:docPr id="4" name="Picture 4" descr="http://depts.washington.edu/write/images/writesites/map-montana-but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epts.washington.edu/write/images/writesites/map-montana-butte.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098800" cy="1663700"/>
                          </a:xfrm>
                          <a:prstGeom prst="rect">
                            <a:avLst/>
                          </a:prstGeom>
                          <a:noFill/>
                          <a:ln>
                            <a:noFill/>
                          </a:ln>
                        </pic:spPr>
                      </pic:pic>
                    </a:graphicData>
                  </a:graphic>
                </wp:inline>
              </w:drawing>
            </w:r>
          </w:p>
        </w:tc>
        <w:tc>
          <w:tcPr>
            <w:tcW w:w="1900" w:type="pct"/>
            <w:vAlign w:val="center"/>
            <w:hideMark/>
          </w:tcPr>
          <w:p w14:paraId="60A6C429" w14:textId="77777777" w:rsidR="00B63212" w:rsidRPr="00C34CC2" w:rsidRDefault="00B63212" w:rsidP="00B63212">
            <w:pPr>
              <w:spacing w:before="100" w:beforeAutospacing="1" w:after="100" w:afterAutospacing="1" w:line="270" w:lineRule="atLeast"/>
              <w:rPr>
                <w:rFonts w:ascii="Arial" w:hAnsi="Arial" w:cs="Arial"/>
                <w:b/>
                <w:bCs/>
                <w:color w:val="4A3729"/>
                <w:spacing w:val="15"/>
              </w:rPr>
            </w:pPr>
            <w:r w:rsidRPr="00C34CC2">
              <w:rPr>
                <w:rFonts w:ascii="Arial" w:hAnsi="Arial" w:cs="Arial"/>
                <w:b/>
                <w:bCs/>
                <w:color w:val="4A3729"/>
                <w:spacing w:val="15"/>
              </w:rPr>
              <w:t>Southwest Montana Community</w:t>
            </w:r>
            <w:r w:rsidRPr="00C34CC2">
              <w:rPr>
                <w:rFonts w:ascii="Arial" w:hAnsi="Arial" w:cs="Arial"/>
                <w:b/>
                <w:bCs/>
                <w:color w:val="4A3729"/>
                <w:spacing w:val="15"/>
              </w:rPr>
              <w:br/>
              <w:t>Health Center</w:t>
            </w:r>
            <w:r w:rsidRPr="00C34CC2">
              <w:rPr>
                <w:rFonts w:ascii="Arial" w:hAnsi="Arial" w:cs="Arial"/>
                <w:b/>
                <w:bCs/>
                <w:color w:val="4A3729"/>
                <w:spacing w:val="15"/>
              </w:rPr>
              <w:br/>
              <w:t>445 Centennial Ave</w:t>
            </w:r>
            <w:r w:rsidRPr="00C34CC2">
              <w:rPr>
                <w:rFonts w:ascii="Arial" w:hAnsi="Arial" w:cs="Arial"/>
                <w:b/>
                <w:bCs/>
                <w:color w:val="4A3729"/>
                <w:spacing w:val="15"/>
              </w:rPr>
              <w:br/>
              <w:t>Butte, MT 59701</w:t>
            </w:r>
            <w:r w:rsidRPr="00C34CC2">
              <w:rPr>
                <w:rFonts w:ascii="Arial" w:hAnsi="Arial" w:cs="Arial"/>
                <w:b/>
                <w:bCs/>
                <w:color w:val="4A3729"/>
                <w:spacing w:val="15"/>
              </w:rPr>
              <w:br/>
            </w:r>
            <w:r w:rsidRPr="00C34CC2">
              <w:rPr>
                <w:rFonts w:ascii="Arial" w:hAnsi="Arial" w:cs="Arial"/>
                <w:b/>
                <w:bCs/>
                <w:color w:val="4A3729"/>
                <w:spacing w:val="15"/>
              </w:rPr>
              <w:br/>
              <w:t>Phone: 406-723-4075</w:t>
            </w:r>
          </w:p>
        </w:tc>
      </w:tr>
    </w:tbl>
    <w:p w14:paraId="04D694E4" w14:textId="77777777" w:rsidR="00B63212" w:rsidRPr="00B63212" w:rsidRDefault="00B63212" w:rsidP="00B63212">
      <w:pPr>
        <w:rPr>
          <w:rFonts w:ascii="Times New Roman" w:eastAsia="Times New Roman" w:hAnsi="Times New Roman" w:cs="Times New Roman"/>
        </w:rPr>
      </w:pPr>
    </w:p>
    <w:tbl>
      <w:tblPr>
        <w:tblW w:w="4500" w:type="pct"/>
        <w:jc w:val="center"/>
        <w:tblCellSpacing w:w="0" w:type="dxa"/>
        <w:tblBorders>
          <w:top w:val="single" w:sz="6" w:space="0" w:color="E2A001"/>
          <w:left w:val="single" w:sz="6" w:space="0" w:color="E2A001"/>
          <w:bottom w:val="single" w:sz="6" w:space="0" w:color="E2A001"/>
          <w:right w:val="single" w:sz="6" w:space="0" w:color="E2A001"/>
        </w:tblBorders>
        <w:tblCellMar>
          <w:top w:w="100" w:type="dxa"/>
          <w:left w:w="100" w:type="dxa"/>
          <w:bottom w:w="100" w:type="dxa"/>
          <w:right w:w="100" w:type="dxa"/>
        </w:tblCellMar>
        <w:tblLook w:val="04A0" w:firstRow="1" w:lastRow="0" w:firstColumn="1" w:lastColumn="0" w:noHBand="0" w:noVBand="1"/>
      </w:tblPr>
      <w:tblGrid>
        <w:gridCol w:w="8410"/>
      </w:tblGrid>
      <w:tr w:rsidR="00B63212" w:rsidRPr="00B63212" w14:paraId="03809EF6" w14:textId="77777777" w:rsidTr="00B63212">
        <w:trPr>
          <w:tblCellSpacing w:w="0" w:type="dxa"/>
          <w:jc w:val="center"/>
        </w:trPr>
        <w:tc>
          <w:tcPr>
            <w:tcW w:w="0" w:type="auto"/>
            <w:tcMar>
              <w:top w:w="225" w:type="dxa"/>
              <w:left w:w="225" w:type="dxa"/>
              <w:bottom w:w="225" w:type="dxa"/>
              <w:right w:w="225" w:type="dxa"/>
            </w:tcMar>
            <w:hideMark/>
          </w:tcPr>
          <w:p w14:paraId="371A915F" w14:textId="6D8EE5F8" w:rsidR="00B63212" w:rsidRPr="0022500A" w:rsidRDefault="00C34CC2" w:rsidP="00B63212">
            <w:pPr>
              <w:spacing w:before="100" w:beforeAutospacing="1" w:after="100" w:afterAutospacing="1"/>
              <w:rPr>
                <w:rFonts w:ascii="Arial" w:hAnsi="Arial" w:cs="Arial"/>
                <w:color w:val="4A3729"/>
              </w:rPr>
            </w:pPr>
            <w:r w:rsidRPr="0022500A">
              <w:rPr>
                <w:rFonts w:ascii="Times New Roman" w:eastAsia="Times New Roman" w:hAnsi="Times New Roman" w:cs="Times New Roman"/>
                <w:noProof/>
              </w:rPr>
              <w:drawing>
                <wp:anchor distT="0" distB="0" distL="0" distR="0" simplePos="0" relativeHeight="251657216" behindDoc="0" locked="0" layoutInCell="1" allowOverlap="0" wp14:anchorId="07D7D9B5" wp14:editId="7CA12586">
                  <wp:simplePos x="0" y="0"/>
                  <wp:positionH relativeFrom="column">
                    <wp:posOffset>3750310</wp:posOffset>
                  </wp:positionH>
                  <wp:positionV relativeFrom="line">
                    <wp:posOffset>109855</wp:posOffset>
                  </wp:positionV>
                  <wp:extent cx="1285875" cy="1607185"/>
                  <wp:effectExtent l="0" t="0" r="9525" b="0"/>
                  <wp:wrapSquare wrapText="bothSides"/>
                  <wp:docPr id="6" name="Picture 6" descr="http://depts.washington.edu/write/images/writesites/photo-serena-brewer-butte-monta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depts.washington.edu/write/images/writesites/photo-serena-brewer-butte-montana.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85875" cy="1607185"/>
                          </a:xfrm>
                          <a:prstGeom prst="rect">
                            <a:avLst/>
                          </a:prstGeom>
                          <a:noFill/>
                          <a:ln>
                            <a:noFill/>
                          </a:ln>
                        </pic:spPr>
                      </pic:pic>
                    </a:graphicData>
                  </a:graphic>
                  <wp14:sizeRelH relativeFrom="page">
                    <wp14:pctWidth>0</wp14:pctWidth>
                  </wp14:sizeRelH>
                  <wp14:sizeRelV relativeFrom="page">
                    <wp14:pctHeight>0</wp14:pctHeight>
                  </wp14:sizeRelV>
                </wp:anchor>
              </w:drawing>
            </w:r>
            <w:r w:rsidR="00B63212" w:rsidRPr="0022500A">
              <w:rPr>
                <w:rFonts w:ascii="Arial" w:hAnsi="Arial" w:cs="Arial"/>
                <w:b/>
                <w:bCs/>
                <w:color w:val="4A3729"/>
              </w:rPr>
              <w:t>Primary WRITE Preceptor:</w:t>
            </w:r>
            <w:r w:rsidR="00B63212" w:rsidRPr="0022500A">
              <w:rPr>
                <w:rFonts w:ascii="Arial" w:hAnsi="Arial" w:cs="Arial"/>
                <w:color w:val="4A3729"/>
              </w:rPr>
              <w:t> Serena Brewer, D.O.</w:t>
            </w:r>
            <w:r w:rsidR="00B63212" w:rsidRPr="0022500A">
              <w:rPr>
                <w:rFonts w:ascii="Arial" w:hAnsi="Arial" w:cs="Arial"/>
                <w:b/>
                <w:bCs/>
                <w:color w:val="4A3729"/>
              </w:rPr>
              <w:br/>
            </w:r>
            <w:r w:rsidR="00B63212" w:rsidRPr="0022500A">
              <w:rPr>
                <w:rFonts w:ascii="Arial" w:hAnsi="Arial" w:cs="Arial"/>
                <w:color w:val="4A3729"/>
              </w:rPr>
              <w:t>Email: </w:t>
            </w:r>
            <w:hyperlink r:id="rId6" w:history="1">
              <w:r w:rsidR="0022500A" w:rsidRPr="0022500A">
                <w:rPr>
                  <w:rStyle w:val="Hyperlink"/>
                  <w:rFonts w:ascii="Arial" w:hAnsi="Arial" w:cs="Arial"/>
                  <w:b/>
                  <w:bCs/>
                </w:rPr>
                <w:t>sbrewer@swmtchc.org</w:t>
              </w:r>
            </w:hyperlink>
          </w:p>
          <w:p w14:paraId="1147B93D" w14:textId="4B775869" w:rsidR="00B63212" w:rsidRPr="0022500A" w:rsidRDefault="00B63212" w:rsidP="00B63212">
            <w:pPr>
              <w:spacing w:before="100" w:beforeAutospacing="1" w:after="100" w:afterAutospacing="1"/>
              <w:rPr>
                <w:rFonts w:ascii="Arial" w:hAnsi="Arial" w:cs="Arial"/>
                <w:color w:val="4A3729"/>
              </w:rPr>
            </w:pPr>
            <w:r w:rsidRPr="0022500A">
              <w:rPr>
                <w:rFonts w:ascii="Arial" w:hAnsi="Arial" w:cs="Arial"/>
                <w:b/>
                <w:bCs/>
                <w:color w:val="4A3729"/>
              </w:rPr>
              <w:t>Serena Brewer, D.O., Family Medicine:</w:t>
            </w:r>
            <w:r w:rsidRPr="0022500A">
              <w:rPr>
                <w:rFonts w:ascii="Arial" w:hAnsi="Arial" w:cs="Arial"/>
                <w:color w:val="4A3729"/>
              </w:rPr>
              <w:br/>
              <w:t>Undergrad: Willamette University, Salem OR, majored in Sociology. Went to Kirksville College of Osteopathic Medicine, Kirksville, MO and completed her residency at Santa Rosa Family Medicine Residency. She specializes in women’s and adolescent health. Loves to cook, rebuild old trucks, ski, and fly fish.</w:t>
            </w:r>
          </w:p>
          <w:p w14:paraId="079A16D4" w14:textId="77777777" w:rsidR="00B63212" w:rsidRPr="0022500A" w:rsidRDefault="00B63212" w:rsidP="00B63212">
            <w:pPr>
              <w:spacing w:before="100" w:beforeAutospacing="1" w:after="100" w:afterAutospacing="1"/>
              <w:rPr>
                <w:rFonts w:ascii="Arial" w:hAnsi="Arial" w:cs="Arial"/>
                <w:color w:val="4A3729"/>
              </w:rPr>
            </w:pPr>
            <w:r w:rsidRPr="0022500A">
              <w:rPr>
                <w:rFonts w:ascii="Arial" w:hAnsi="Arial" w:cs="Arial"/>
                <w:b/>
                <w:bCs/>
                <w:color w:val="4A3729"/>
              </w:rPr>
              <w:t>Family Medicine Physicians:</w:t>
            </w:r>
            <w:r w:rsidRPr="0022500A">
              <w:rPr>
                <w:rFonts w:ascii="Arial" w:hAnsi="Arial" w:cs="Arial"/>
                <w:color w:val="4A3729"/>
              </w:rPr>
              <w:br/>
              <w:t>Shawna Yates, D.O., Wendy Grace, MD</w:t>
            </w:r>
            <w:r w:rsidRPr="0022500A">
              <w:rPr>
                <w:rFonts w:ascii="MingLiU" w:eastAsia="MingLiU" w:hAnsi="MingLiU" w:cs="MingLiU"/>
                <w:color w:val="4A3729"/>
              </w:rPr>
              <w:br/>
            </w:r>
            <w:r w:rsidRPr="0022500A">
              <w:rPr>
                <w:rFonts w:ascii="Arial" w:hAnsi="Arial" w:cs="Arial"/>
                <w:b/>
                <w:bCs/>
                <w:color w:val="4A3729"/>
              </w:rPr>
              <w:t>Pediatric Physicians:</w:t>
            </w:r>
            <w:r w:rsidRPr="0022500A">
              <w:rPr>
                <w:rFonts w:ascii="Arial" w:hAnsi="Arial" w:cs="Arial"/>
                <w:color w:val="4A3729"/>
              </w:rPr>
              <w:br/>
              <w:t>Greg Schulte,, M.D. • Catherine White, M.D.</w:t>
            </w:r>
            <w:r w:rsidRPr="0022500A">
              <w:rPr>
                <w:rFonts w:ascii="MingLiU" w:eastAsia="MingLiU" w:hAnsi="MingLiU" w:cs="MingLiU"/>
                <w:color w:val="4A3729"/>
              </w:rPr>
              <w:br/>
            </w:r>
            <w:r w:rsidRPr="0022500A">
              <w:rPr>
                <w:rFonts w:ascii="Arial" w:hAnsi="Arial" w:cs="Arial"/>
                <w:b/>
                <w:bCs/>
                <w:color w:val="4A3729"/>
              </w:rPr>
              <w:t>Internal Medicine Physician:</w:t>
            </w:r>
            <w:r w:rsidRPr="0022500A">
              <w:rPr>
                <w:rFonts w:ascii="Arial" w:hAnsi="Arial" w:cs="Arial"/>
                <w:color w:val="4A3729"/>
              </w:rPr>
              <w:br/>
              <w:t xml:space="preserve">John Pullman, M.D. • Paul </w:t>
            </w:r>
            <w:proofErr w:type="spellStart"/>
            <w:r w:rsidRPr="0022500A">
              <w:rPr>
                <w:rFonts w:ascii="Arial" w:hAnsi="Arial" w:cs="Arial"/>
                <w:color w:val="4A3729"/>
              </w:rPr>
              <w:t>Siddoway</w:t>
            </w:r>
            <w:proofErr w:type="spellEnd"/>
            <w:r w:rsidRPr="0022500A">
              <w:rPr>
                <w:rFonts w:ascii="Arial" w:hAnsi="Arial" w:cs="Arial"/>
                <w:color w:val="4A3729"/>
              </w:rPr>
              <w:t>, M.D.</w:t>
            </w:r>
          </w:p>
          <w:p w14:paraId="3D6A894D" w14:textId="4D74E51E" w:rsidR="00B63212" w:rsidRPr="0022500A" w:rsidRDefault="00B63212" w:rsidP="00B63212">
            <w:pPr>
              <w:spacing w:before="100" w:beforeAutospacing="1" w:after="100" w:afterAutospacing="1"/>
              <w:rPr>
                <w:rFonts w:ascii="Arial" w:hAnsi="Arial" w:cs="Arial"/>
                <w:b/>
                <w:color w:val="4A3729"/>
              </w:rPr>
            </w:pPr>
            <w:r w:rsidRPr="0022500A">
              <w:rPr>
                <w:rFonts w:ascii="Arial" w:hAnsi="Arial" w:cs="Arial"/>
                <w:b/>
                <w:color w:val="4A3729"/>
              </w:rPr>
              <w:t xml:space="preserve">Students should contact the </w:t>
            </w:r>
            <w:r w:rsidR="0022500A" w:rsidRPr="0022500A">
              <w:rPr>
                <w:rFonts w:ascii="Arial" w:hAnsi="Arial" w:cs="Arial"/>
                <w:b/>
                <w:color w:val="4A3729"/>
              </w:rPr>
              <w:t>coordinators 6</w:t>
            </w:r>
            <w:r w:rsidRPr="0022500A">
              <w:rPr>
                <w:rFonts w:ascii="Arial" w:hAnsi="Arial" w:cs="Arial"/>
                <w:b/>
                <w:color w:val="4A3729"/>
              </w:rPr>
              <w:t xml:space="preserve"> – 8 weeks or more from the start of their rotation for the appropriate forms and </w:t>
            </w:r>
            <w:r w:rsidR="0022500A" w:rsidRPr="0022500A">
              <w:rPr>
                <w:rFonts w:ascii="Arial" w:hAnsi="Arial" w:cs="Arial"/>
                <w:b/>
                <w:color w:val="4A3729"/>
              </w:rPr>
              <w:t>information</w:t>
            </w:r>
            <w:r w:rsidRPr="0022500A">
              <w:rPr>
                <w:rFonts w:ascii="Arial" w:hAnsi="Arial" w:cs="Arial"/>
                <w:b/>
                <w:color w:val="4A3729"/>
              </w:rPr>
              <w:t xml:space="preserve">. </w:t>
            </w:r>
          </w:p>
          <w:p w14:paraId="3B2210FC" w14:textId="77777777" w:rsidR="00B63212" w:rsidRPr="0022500A" w:rsidRDefault="00B63212" w:rsidP="00B63212">
            <w:pPr>
              <w:spacing w:before="100" w:beforeAutospacing="1" w:after="100" w:afterAutospacing="1"/>
              <w:rPr>
                <w:rFonts w:ascii="Arial" w:hAnsi="Arial" w:cs="Arial"/>
                <w:b/>
                <w:color w:val="4A3729"/>
              </w:rPr>
            </w:pPr>
            <w:r w:rsidRPr="0022500A">
              <w:rPr>
                <w:rFonts w:ascii="Arial" w:hAnsi="Arial" w:cs="Arial"/>
                <w:b/>
                <w:color w:val="4A3729"/>
              </w:rPr>
              <w:t xml:space="preserve">Clinic Coordinator: Julie </w:t>
            </w:r>
            <w:proofErr w:type="spellStart"/>
            <w:r w:rsidRPr="0022500A">
              <w:rPr>
                <w:rFonts w:ascii="Arial" w:hAnsi="Arial" w:cs="Arial"/>
                <w:b/>
                <w:color w:val="4A3729"/>
              </w:rPr>
              <w:t>Endy</w:t>
            </w:r>
            <w:proofErr w:type="spellEnd"/>
            <w:r w:rsidRPr="0022500A">
              <w:rPr>
                <w:rFonts w:ascii="Arial" w:hAnsi="Arial" w:cs="Arial"/>
                <w:b/>
                <w:color w:val="4A3729"/>
              </w:rPr>
              <w:t xml:space="preserve">, </w:t>
            </w:r>
            <w:hyperlink r:id="rId7" w:history="1">
              <w:r w:rsidRPr="0022500A">
                <w:rPr>
                  <w:rStyle w:val="Hyperlink"/>
                  <w:rFonts w:ascii="Arial" w:hAnsi="Arial" w:cs="Arial"/>
                  <w:b/>
                </w:rPr>
                <w:t>jendy@swmtchc.org</w:t>
              </w:r>
            </w:hyperlink>
          </w:p>
          <w:p w14:paraId="24F26E5D" w14:textId="77777777" w:rsidR="00B63212" w:rsidRPr="00B63212" w:rsidRDefault="00B63212" w:rsidP="00B63212">
            <w:pPr>
              <w:spacing w:before="100" w:beforeAutospacing="1" w:after="100" w:afterAutospacing="1"/>
              <w:rPr>
                <w:rFonts w:ascii="Arial" w:hAnsi="Arial" w:cs="Arial"/>
                <w:color w:val="4A3729"/>
                <w:sz w:val="18"/>
                <w:szCs w:val="18"/>
              </w:rPr>
            </w:pPr>
            <w:r w:rsidRPr="0022500A">
              <w:rPr>
                <w:rFonts w:ascii="Arial" w:hAnsi="Arial" w:cs="Arial"/>
                <w:b/>
                <w:color w:val="4A3729"/>
              </w:rPr>
              <w:t xml:space="preserve">Hospital Coordinator: Emily Stenson, </w:t>
            </w:r>
            <w:hyperlink r:id="rId8" w:history="1">
              <w:r w:rsidRPr="0022500A">
                <w:rPr>
                  <w:rStyle w:val="Hyperlink"/>
                  <w:rFonts w:ascii="Arial" w:hAnsi="Arial" w:cs="Arial"/>
                  <w:b/>
                </w:rPr>
                <w:t>Emily.Stenson@sclhs.net</w:t>
              </w:r>
            </w:hyperlink>
            <w:r>
              <w:rPr>
                <w:rFonts w:ascii="Arial" w:hAnsi="Arial" w:cs="Arial"/>
                <w:color w:val="4A3729"/>
                <w:sz w:val="18"/>
                <w:szCs w:val="18"/>
              </w:rPr>
              <w:t xml:space="preserve"> </w:t>
            </w:r>
          </w:p>
        </w:tc>
      </w:tr>
    </w:tbl>
    <w:p w14:paraId="785EE72E" w14:textId="77777777" w:rsidR="00B63212" w:rsidRPr="00B63212" w:rsidRDefault="00B63212" w:rsidP="00B63212">
      <w:pPr>
        <w:rPr>
          <w:rFonts w:ascii="Times New Roman" w:eastAsia="Times New Roman" w:hAnsi="Times New Roman" w:cs="Times New Roman"/>
        </w:rPr>
      </w:pPr>
    </w:p>
    <w:tbl>
      <w:tblPr>
        <w:tblW w:w="4500" w:type="pct"/>
        <w:jc w:val="center"/>
        <w:tblCellSpacing w:w="0" w:type="dxa"/>
        <w:tblCellMar>
          <w:top w:w="200" w:type="dxa"/>
          <w:left w:w="200" w:type="dxa"/>
          <w:bottom w:w="200" w:type="dxa"/>
          <w:right w:w="200" w:type="dxa"/>
        </w:tblCellMar>
        <w:tblLook w:val="04A0" w:firstRow="1" w:lastRow="0" w:firstColumn="1" w:lastColumn="0" w:noHBand="0" w:noVBand="1"/>
      </w:tblPr>
      <w:tblGrid>
        <w:gridCol w:w="8856"/>
      </w:tblGrid>
      <w:tr w:rsidR="00B63212" w:rsidRPr="00B63212" w14:paraId="5FD4AA27" w14:textId="77777777" w:rsidTr="00B63212">
        <w:trPr>
          <w:tblCellSpacing w:w="0" w:type="dxa"/>
          <w:jc w:val="center"/>
        </w:trPr>
        <w:tc>
          <w:tcPr>
            <w:tcW w:w="0" w:type="auto"/>
            <w:hideMark/>
          </w:tcPr>
          <w:p w14:paraId="6BD7C92B" w14:textId="77777777" w:rsidR="00B63212" w:rsidRPr="00B63212" w:rsidRDefault="00B63212" w:rsidP="00B63212">
            <w:pPr>
              <w:spacing w:before="100" w:beforeAutospacing="1" w:after="100" w:afterAutospacing="1"/>
              <w:jc w:val="center"/>
              <w:rPr>
                <w:rFonts w:ascii="Arial" w:hAnsi="Arial" w:cs="Arial"/>
                <w:color w:val="4A3729"/>
                <w:sz w:val="18"/>
                <w:szCs w:val="18"/>
              </w:rPr>
            </w:pPr>
            <w:r w:rsidRPr="00B63212">
              <w:rPr>
                <w:rFonts w:ascii="Times New Roman" w:hAnsi="Times New Roman" w:cs="Times New Roman"/>
                <w:b/>
                <w:bCs/>
                <w:noProof/>
                <w:color w:val="003399"/>
                <w:spacing w:val="15"/>
              </w:rPr>
              <w:lastRenderedPageBreak/>
              <w:drawing>
                <wp:inline distT="0" distB="0" distL="0" distR="0" wp14:anchorId="4D9630B5" wp14:editId="15D77C54">
                  <wp:extent cx="5245100" cy="3225800"/>
                  <wp:effectExtent l="0" t="0" r="12700" b="0"/>
                  <wp:docPr id="3" name="Picture 3" descr="http://depts.washington.edu/write/images/writesites/Butte-Community-Health-Cen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depts.washington.edu/write/images/writesites/Butte-Community-Health-Center.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45100" cy="3225800"/>
                          </a:xfrm>
                          <a:prstGeom prst="rect">
                            <a:avLst/>
                          </a:prstGeom>
                          <a:noFill/>
                          <a:ln>
                            <a:noFill/>
                          </a:ln>
                        </pic:spPr>
                      </pic:pic>
                    </a:graphicData>
                  </a:graphic>
                </wp:inline>
              </w:drawing>
            </w:r>
          </w:p>
          <w:p w14:paraId="504D6165" w14:textId="77777777" w:rsidR="00B63212" w:rsidRPr="00B63212" w:rsidRDefault="00B63212" w:rsidP="00B63212">
            <w:pPr>
              <w:spacing w:before="100" w:beforeAutospacing="1" w:after="100" w:afterAutospacing="1"/>
              <w:rPr>
                <w:rFonts w:ascii="Arial" w:hAnsi="Arial" w:cs="Arial"/>
                <w:color w:val="4A3729"/>
                <w:sz w:val="18"/>
                <w:szCs w:val="18"/>
              </w:rPr>
            </w:pPr>
            <w:r w:rsidRPr="00B63212">
              <w:rPr>
                <w:rFonts w:ascii="Times New Roman" w:hAnsi="Times New Roman" w:cs="Times New Roman"/>
                <w:b/>
                <w:bCs/>
                <w:color w:val="003399"/>
                <w:spacing w:val="15"/>
              </w:rPr>
              <w:t>Clinic:</w:t>
            </w:r>
            <w:r w:rsidRPr="00B63212">
              <w:rPr>
                <w:rFonts w:ascii="Arial" w:hAnsi="Arial" w:cs="Arial"/>
                <w:color w:val="4A3729"/>
                <w:sz w:val="18"/>
                <w:szCs w:val="18"/>
              </w:rPr>
              <w:br/>
              <w:t>Founded in 1986, the Butte Community Health Center is a Federally Qualified Health Center serving 12,500 patients with annual visits totaling 50,000. Our patient mix is 50% uninsured, 24% Medicaid, 20% Medicare, 6% private insurance. Our catchment area includes the City and County of Butte-</w:t>
            </w:r>
            <w:proofErr w:type="spellStart"/>
            <w:r w:rsidRPr="00B63212">
              <w:rPr>
                <w:rFonts w:ascii="Arial" w:hAnsi="Arial" w:cs="Arial"/>
                <w:color w:val="4A3729"/>
                <w:sz w:val="18"/>
                <w:szCs w:val="18"/>
              </w:rPr>
              <w:t>Silverbow</w:t>
            </w:r>
            <w:proofErr w:type="spellEnd"/>
            <w:r w:rsidRPr="00B63212">
              <w:rPr>
                <w:rFonts w:ascii="Arial" w:hAnsi="Arial" w:cs="Arial"/>
                <w:color w:val="4A3729"/>
                <w:sz w:val="18"/>
                <w:szCs w:val="18"/>
              </w:rPr>
              <w:t xml:space="preserve"> and surrounding counties of southwest Montana.</w:t>
            </w:r>
          </w:p>
          <w:p w14:paraId="439E3363" w14:textId="77777777" w:rsidR="00B63212" w:rsidRPr="00B63212" w:rsidRDefault="00B63212" w:rsidP="00B63212">
            <w:pPr>
              <w:spacing w:before="100" w:beforeAutospacing="1" w:after="100" w:afterAutospacing="1"/>
              <w:rPr>
                <w:rFonts w:ascii="Arial" w:hAnsi="Arial" w:cs="Arial"/>
                <w:color w:val="4A3729"/>
                <w:sz w:val="18"/>
                <w:szCs w:val="18"/>
              </w:rPr>
            </w:pPr>
            <w:r w:rsidRPr="00B63212">
              <w:rPr>
                <w:rFonts w:ascii="Arial" w:hAnsi="Arial" w:cs="Arial"/>
                <w:color w:val="4A3729"/>
                <w:sz w:val="18"/>
                <w:szCs w:val="18"/>
              </w:rPr>
              <w:t>We believe that every person, regardless of race, age, sex or personal income, has the right to receive quality health care in a supportive atmosphere.</w:t>
            </w:r>
          </w:p>
          <w:p w14:paraId="272632AF" w14:textId="77777777" w:rsidR="00B63212" w:rsidRPr="00B63212" w:rsidRDefault="00B63212" w:rsidP="00B63212">
            <w:pPr>
              <w:spacing w:before="100" w:beforeAutospacing="1" w:after="100" w:afterAutospacing="1"/>
              <w:rPr>
                <w:rFonts w:ascii="Arial" w:hAnsi="Arial" w:cs="Arial"/>
                <w:color w:val="4A3729"/>
                <w:sz w:val="18"/>
                <w:szCs w:val="18"/>
              </w:rPr>
            </w:pPr>
            <w:r w:rsidRPr="00B63212">
              <w:rPr>
                <w:rFonts w:ascii="Arial" w:hAnsi="Arial" w:cs="Arial"/>
                <w:color w:val="4A3729"/>
                <w:sz w:val="18"/>
                <w:szCs w:val="18"/>
              </w:rPr>
              <w:t>Further, we believe that it is essential that everyone have the opportunity to maintain a state of positive health and have the professional help required to maintain their wellness through prevention, education and counseling.</w:t>
            </w:r>
          </w:p>
          <w:p w14:paraId="7F73359E" w14:textId="77777777" w:rsidR="00B63212" w:rsidRPr="00B63212" w:rsidRDefault="00B63212" w:rsidP="00B63212">
            <w:pPr>
              <w:spacing w:before="100" w:beforeAutospacing="1" w:after="100" w:afterAutospacing="1"/>
              <w:rPr>
                <w:rFonts w:ascii="Arial" w:hAnsi="Arial" w:cs="Arial"/>
                <w:color w:val="4A3729"/>
                <w:sz w:val="18"/>
                <w:szCs w:val="18"/>
              </w:rPr>
            </w:pPr>
            <w:r w:rsidRPr="00B63212">
              <w:rPr>
                <w:rFonts w:ascii="Arial" w:hAnsi="Arial" w:cs="Arial"/>
                <w:color w:val="4A3729"/>
                <w:sz w:val="18"/>
                <w:szCs w:val="18"/>
              </w:rPr>
              <w:t>Our services include comprehensive medical and dental care, pharmacy, and behavioral health all onsite. Our providers specialize in internal medicine, family practice, pediatrics, women’s health, OB and geriatrics.</w:t>
            </w:r>
          </w:p>
          <w:p w14:paraId="2A24C383" w14:textId="77777777" w:rsidR="0022500A" w:rsidRDefault="00B63212" w:rsidP="0022500A">
            <w:pPr>
              <w:shd w:val="clear" w:color="auto" w:fill="FFFFFF"/>
              <w:textAlignment w:val="baseline"/>
              <w:rPr>
                <w:rFonts w:ascii="inherit" w:eastAsia="Times New Roman" w:hAnsi="inherit" w:cs="Arial"/>
                <w:color w:val="000000"/>
                <w:sz w:val="23"/>
                <w:szCs w:val="23"/>
              </w:rPr>
            </w:pPr>
            <w:r w:rsidRPr="00B63212">
              <w:rPr>
                <w:rFonts w:ascii="Arial" w:hAnsi="Arial" w:cs="Arial"/>
                <w:color w:val="4A3729"/>
                <w:sz w:val="18"/>
                <w:szCs w:val="18"/>
              </w:rPr>
              <w:t>Currently the clinic has 6 fulltime physicians and 5 midlevel providers including nurse practitioners and PAs. Our physicians cover adult, pediatric and OB admissions at St. James Medical Center, round at all of the nursing homes and assisted living facilities in the community and regularly participate in community education activities such as “Walk-n-Talk with A Doc” and Butte High School Health Education Classes.</w:t>
            </w:r>
            <w:r w:rsidR="0022500A">
              <w:rPr>
                <w:rFonts w:ascii="inherit" w:eastAsia="Times New Roman" w:hAnsi="inherit" w:cs="Arial"/>
                <w:color w:val="000000"/>
                <w:sz w:val="23"/>
                <w:szCs w:val="23"/>
              </w:rPr>
              <w:t xml:space="preserve"> </w:t>
            </w:r>
          </w:p>
          <w:p w14:paraId="7D009A29" w14:textId="77777777" w:rsidR="0022500A" w:rsidRDefault="0022500A" w:rsidP="0022500A">
            <w:pPr>
              <w:shd w:val="clear" w:color="auto" w:fill="FFFFFF"/>
              <w:textAlignment w:val="baseline"/>
              <w:rPr>
                <w:rFonts w:ascii="inherit" w:eastAsia="Times New Roman" w:hAnsi="inherit" w:cs="Arial"/>
                <w:color w:val="000000"/>
                <w:sz w:val="23"/>
                <w:szCs w:val="23"/>
              </w:rPr>
            </w:pPr>
          </w:p>
          <w:p w14:paraId="72D180F9" w14:textId="5F6D3E6C" w:rsidR="0022500A" w:rsidRPr="0022500A" w:rsidRDefault="0022500A" w:rsidP="0022500A">
            <w:pPr>
              <w:shd w:val="clear" w:color="auto" w:fill="FFFFFF"/>
              <w:textAlignment w:val="baseline"/>
              <w:rPr>
                <w:rFonts w:ascii="Arial" w:hAnsi="Arial" w:cs="Arial"/>
                <w:color w:val="4A3729"/>
                <w:sz w:val="18"/>
                <w:szCs w:val="18"/>
              </w:rPr>
            </w:pPr>
            <w:r w:rsidRPr="0022500A">
              <w:rPr>
                <w:rFonts w:ascii="Arial" w:hAnsi="Arial" w:cs="Arial"/>
                <w:color w:val="4A3729"/>
                <w:sz w:val="18"/>
                <w:szCs w:val="18"/>
              </w:rPr>
              <w:t>Family medicine clerkship students get to participate in outpatient procedures including biopsies, suturing, colposcopy, IUD insertion and removal, joint injections and joint aspirations. Additionally, we utilize your clerkship time to teach time management, charting and organizational skills. Clerkship students have their own panel of patients to manage during their time with us. Clerkship students will often work side by side with pharmacy students during patient visits. Our outpatient clinic is busy but we think you will enjoy it as much as we do!</w:t>
            </w:r>
          </w:p>
          <w:p w14:paraId="01DCEAA2" w14:textId="77777777" w:rsidR="00B63212" w:rsidRPr="00B63212" w:rsidRDefault="00B63212" w:rsidP="00B63212">
            <w:pPr>
              <w:spacing w:before="100" w:beforeAutospacing="1" w:after="100" w:afterAutospacing="1"/>
              <w:rPr>
                <w:rFonts w:ascii="Arial" w:hAnsi="Arial" w:cs="Arial"/>
                <w:color w:val="4A3729"/>
                <w:sz w:val="18"/>
                <w:szCs w:val="18"/>
              </w:rPr>
            </w:pPr>
          </w:p>
          <w:p w14:paraId="132202A0" w14:textId="77777777" w:rsidR="00B63212" w:rsidRPr="00B63212" w:rsidRDefault="00B63212" w:rsidP="00B63212">
            <w:pPr>
              <w:spacing w:before="100" w:beforeAutospacing="1" w:after="100" w:afterAutospacing="1"/>
              <w:rPr>
                <w:rFonts w:ascii="Arial" w:hAnsi="Arial" w:cs="Arial"/>
                <w:color w:val="4A3729"/>
                <w:sz w:val="18"/>
                <w:szCs w:val="18"/>
              </w:rPr>
            </w:pPr>
            <w:r w:rsidRPr="00B63212">
              <w:rPr>
                <w:rFonts w:ascii="Arial" w:hAnsi="Arial" w:cs="Arial"/>
                <w:noProof/>
                <w:color w:val="4A3729"/>
                <w:sz w:val="18"/>
                <w:szCs w:val="18"/>
              </w:rPr>
              <w:lastRenderedPageBreak/>
              <w:drawing>
                <wp:anchor distT="0" distB="0" distL="0" distR="0" simplePos="0" relativeHeight="251658240" behindDoc="0" locked="0" layoutInCell="1" allowOverlap="0" wp14:anchorId="06C95D90" wp14:editId="761715E1">
                  <wp:simplePos x="0" y="0"/>
                  <wp:positionH relativeFrom="column">
                    <wp:align>right</wp:align>
                  </wp:positionH>
                  <wp:positionV relativeFrom="line">
                    <wp:posOffset>0</wp:posOffset>
                  </wp:positionV>
                  <wp:extent cx="2562225" cy="1666875"/>
                  <wp:effectExtent l="0" t="0" r="3175" b="9525"/>
                  <wp:wrapSquare wrapText="bothSides"/>
                  <wp:docPr id="5" name="Picture 5" descr="http://depts.washington.edu/write/images/writesites/photo-sjmc-butte-monta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depts.washington.edu/write/images/writesites/photo-sjmc-butte-montana.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62225" cy="1666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63212">
              <w:rPr>
                <w:rFonts w:ascii="Times New Roman" w:hAnsi="Times New Roman" w:cs="Times New Roman"/>
                <w:b/>
                <w:bCs/>
                <w:color w:val="003399"/>
                <w:spacing w:val="15"/>
              </w:rPr>
              <w:t>Medical:</w:t>
            </w:r>
            <w:r w:rsidRPr="00B63212">
              <w:rPr>
                <w:rFonts w:ascii="Arial" w:hAnsi="Arial" w:cs="Arial"/>
                <w:color w:val="4A3729"/>
                <w:sz w:val="18"/>
                <w:szCs w:val="18"/>
              </w:rPr>
              <w:br/>
              <w:t>The Butte Community Health Center is affiliated with St. James Medical Center. St. James offers the people of Southwest Montana specialized services in Cardiology, Oncology, Orthopedics and Women's &amp; Children's services. It is a 100-bed facility staffed by more than 500 employees, all dedicated to the integration of tradition and technology.</w:t>
            </w:r>
          </w:p>
          <w:p w14:paraId="1ACB6954" w14:textId="77777777" w:rsidR="00B63212" w:rsidRPr="00B63212" w:rsidRDefault="00B63212" w:rsidP="00B63212">
            <w:pPr>
              <w:spacing w:before="100" w:beforeAutospacing="1" w:after="100" w:afterAutospacing="1"/>
              <w:rPr>
                <w:rFonts w:ascii="Arial" w:hAnsi="Arial" w:cs="Arial"/>
                <w:color w:val="4A3729"/>
                <w:sz w:val="18"/>
                <w:szCs w:val="18"/>
              </w:rPr>
            </w:pPr>
            <w:r w:rsidRPr="00B63212">
              <w:rPr>
                <w:rFonts w:ascii="Arial" w:hAnsi="Arial" w:cs="Arial"/>
                <w:color w:val="4A3729"/>
                <w:sz w:val="18"/>
                <w:szCs w:val="18"/>
              </w:rPr>
              <w:t>For more than 125 years, St. James Healthcare has played an important role in the history of Butte. Founded in 1881 by the Sisters of Charity of Leavenworth (Kansas), St. James has been known for generations for its mission of compassionate care and service to the poor. For more than 125 years, St. James has provided care for the sick and served the poor. Today, that commitment is accompanied by St. James' reputation as a technological leader in Montana's healthcare industry.</w:t>
            </w:r>
          </w:p>
          <w:tbl>
            <w:tblPr>
              <w:tblW w:w="5000" w:type="pct"/>
              <w:jc w:val="center"/>
              <w:tblCellSpacing w:w="0" w:type="dxa"/>
              <w:tblBorders>
                <w:top w:val="single" w:sz="6" w:space="0" w:color="E2A001"/>
                <w:left w:val="single" w:sz="6" w:space="0" w:color="E2A001"/>
                <w:bottom w:val="single" w:sz="6" w:space="0" w:color="E2A001"/>
                <w:right w:val="single" w:sz="6" w:space="0" w:color="E2A001"/>
              </w:tblBorders>
              <w:tblCellMar>
                <w:top w:w="100" w:type="dxa"/>
                <w:left w:w="100" w:type="dxa"/>
                <w:bottom w:w="100" w:type="dxa"/>
                <w:right w:w="100" w:type="dxa"/>
              </w:tblCellMar>
              <w:tblLook w:val="04A0" w:firstRow="1" w:lastRow="0" w:firstColumn="1" w:lastColumn="0" w:noHBand="0" w:noVBand="1"/>
            </w:tblPr>
            <w:tblGrid>
              <w:gridCol w:w="8440"/>
            </w:tblGrid>
            <w:tr w:rsidR="00B63212" w:rsidRPr="00B63212" w14:paraId="0F299595" w14:textId="77777777">
              <w:trPr>
                <w:tblCellSpacing w:w="0" w:type="dxa"/>
                <w:jc w:val="center"/>
              </w:trPr>
              <w:tc>
                <w:tcPr>
                  <w:tcW w:w="0" w:type="auto"/>
                  <w:tcMar>
                    <w:top w:w="225" w:type="dxa"/>
                    <w:left w:w="225" w:type="dxa"/>
                    <w:bottom w:w="225" w:type="dxa"/>
                    <w:right w:w="225" w:type="dxa"/>
                  </w:tcMar>
                  <w:hideMark/>
                </w:tcPr>
                <w:p w14:paraId="089484A6" w14:textId="77777777" w:rsidR="00B63212" w:rsidRPr="00B63212" w:rsidRDefault="00B63212" w:rsidP="00B63212">
                  <w:pPr>
                    <w:jc w:val="center"/>
                    <w:rPr>
                      <w:rFonts w:ascii="Arial" w:eastAsia="Times New Roman" w:hAnsi="Arial" w:cs="Arial"/>
                      <w:color w:val="4A3729"/>
                      <w:sz w:val="18"/>
                      <w:szCs w:val="18"/>
                    </w:rPr>
                  </w:pPr>
                  <w:r w:rsidRPr="00B63212">
                    <w:rPr>
                      <w:rFonts w:ascii="Arial" w:eastAsia="Times New Roman" w:hAnsi="Arial" w:cs="Arial"/>
                      <w:noProof/>
                      <w:color w:val="4A3729"/>
                      <w:sz w:val="18"/>
                      <w:szCs w:val="18"/>
                    </w:rPr>
                    <w:drawing>
                      <wp:inline distT="0" distB="0" distL="0" distR="0" wp14:anchorId="6EAF5E42" wp14:editId="58BFFE30">
                        <wp:extent cx="5041900" cy="1473200"/>
                        <wp:effectExtent l="0" t="0" r="12700" b="0"/>
                        <wp:docPr id="2" name="Picture 2" descr="http://depts.washington.edu/write/images/writesites/photo-butte-monta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depts.washington.edu/write/images/writesites/photo-butte-montana.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41900" cy="1473200"/>
                                </a:xfrm>
                                <a:prstGeom prst="rect">
                                  <a:avLst/>
                                </a:prstGeom>
                                <a:noFill/>
                                <a:ln>
                                  <a:noFill/>
                                </a:ln>
                              </pic:spPr>
                            </pic:pic>
                          </a:graphicData>
                        </a:graphic>
                      </wp:inline>
                    </w:drawing>
                  </w:r>
                </w:p>
                <w:p w14:paraId="44B19292" w14:textId="77777777" w:rsidR="00B63212" w:rsidRPr="00B63212" w:rsidRDefault="00B63212" w:rsidP="00B63212">
                  <w:pPr>
                    <w:spacing w:before="100" w:beforeAutospacing="1" w:after="100" w:afterAutospacing="1"/>
                    <w:rPr>
                      <w:rFonts w:ascii="Arial" w:hAnsi="Arial" w:cs="Arial"/>
                      <w:color w:val="4A3729"/>
                      <w:sz w:val="18"/>
                      <w:szCs w:val="18"/>
                    </w:rPr>
                  </w:pPr>
                  <w:r w:rsidRPr="00B63212">
                    <w:rPr>
                      <w:rFonts w:ascii="Times New Roman" w:hAnsi="Times New Roman" w:cs="Times New Roman"/>
                      <w:b/>
                      <w:bCs/>
                      <w:color w:val="003399"/>
                      <w:spacing w:val="15"/>
                    </w:rPr>
                    <w:t>Getting to Butte:</w:t>
                  </w:r>
                  <w:r w:rsidRPr="00B63212">
                    <w:rPr>
                      <w:rFonts w:ascii="Arial" w:hAnsi="Arial" w:cs="Arial"/>
                      <w:color w:val="4A3729"/>
                      <w:sz w:val="18"/>
                      <w:szCs w:val="18"/>
                    </w:rPr>
                    <w:br/>
                    <w:t xml:space="preserve">Butte, MT, lies in the Southwest portion of Montana. It’s about a </w:t>
                  </w:r>
                  <w:proofErr w:type="gramStart"/>
                  <w:r w:rsidRPr="00B63212">
                    <w:rPr>
                      <w:rFonts w:ascii="Arial" w:hAnsi="Arial" w:cs="Arial"/>
                      <w:color w:val="4A3729"/>
                      <w:sz w:val="18"/>
                      <w:szCs w:val="18"/>
                    </w:rPr>
                    <w:t>2 hour</w:t>
                  </w:r>
                  <w:proofErr w:type="gramEnd"/>
                  <w:r w:rsidRPr="00B63212">
                    <w:rPr>
                      <w:rFonts w:ascii="Arial" w:hAnsi="Arial" w:cs="Arial"/>
                      <w:color w:val="4A3729"/>
                      <w:sz w:val="18"/>
                      <w:szCs w:val="18"/>
                    </w:rPr>
                    <w:t xml:space="preserve"> drive to the Idaho border to the south down Interstate 15. Likewise, Missoula is about a </w:t>
                  </w:r>
                  <w:proofErr w:type="gramStart"/>
                  <w:r w:rsidRPr="00B63212">
                    <w:rPr>
                      <w:rFonts w:ascii="Arial" w:hAnsi="Arial" w:cs="Arial"/>
                      <w:color w:val="4A3729"/>
                      <w:sz w:val="18"/>
                      <w:szCs w:val="18"/>
                    </w:rPr>
                    <w:t>2 hour</w:t>
                  </w:r>
                  <w:proofErr w:type="gramEnd"/>
                  <w:r w:rsidRPr="00B63212">
                    <w:rPr>
                      <w:rFonts w:ascii="Arial" w:hAnsi="Arial" w:cs="Arial"/>
                      <w:color w:val="4A3729"/>
                      <w:sz w:val="18"/>
                      <w:szCs w:val="18"/>
                    </w:rPr>
                    <w:t xml:space="preserve"> drive to the west down Interstate 90. Helena, the state capitol, is about 80 miles to the north of Butte along Interstate 15.</w:t>
                  </w:r>
                </w:p>
                <w:p w14:paraId="6B50C2B4" w14:textId="77777777" w:rsidR="00B63212" w:rsidRPr="00B63212" w:rsidRDefault="00B63212" w:rsidP="00B63212">
                  <w:pPr>
                    <w:spacing w:before="100" w:beforeAutospacing="1" w:after="100" w:afterAutospacing="1"/>
                    <w:rPr>
                      <w:rFonts w:ascii="Times New Roman" w:hAnsi="Times New Roman" w:cs="Times New Roman"/>
                      <w:b/>
                      <w:bCs/>
                      <w:color w:val="003399"/>
                      <w:spacing w:val="15"/>
                    </w:rPr>
                  </w:pPr>
                  <w:r w:rsidRPr="00B63212">
                    <w:rPr>
                      <w:rFonts w:ascii="Times New Roman" w:hAnsi="Times New Roman" w:cs="Times New Roman"/>
                      <w:b/>
                      <w:bCs/>
                      <w:color w:val="003399"/>
                      <w:spacing w:val="15"/>
                    </w:rPr>
                    <w:t>About Butte:</w:t>
                  </w:r>
                </w:p>
                <w:p w14:paraId="144A612A" w14:textId="77777777" w:rsidR="00B63212" w:rsidRPr="00B63212" w:rsidRDefault="00B63212" w:rsidP="00B63212">
                  <w:pPr>
                    <w:spacing w:before="100" w:beforeAutospacing="1" w:after="100" w:afterAutospacing="1"/>
                    <w:rPr>
                      <w:rFonts w:ascii="Arial" w:hAnsi="Arial" w:cs="Arial"/>
                      <w:color w:val="4A3729"/>
                      <w:sz w:val="18"/>
                      <w:szCs w:val="18"/>
                    </w:rPr>
                  </w:pPr>
                  <w:r w:rsidRPr="00B63212">
                    <w:rPr>
                      <w:rFonts w:ascii="Arial" w:hAnsi="Arial" w:cs="Arial"/>
                      <w:color w:val="4A3729"/>
                      <w:sz w:val="18"/>
                      <w:szCs w:val="18"/>
                    </w:rPr>
                    <w:t>For more than a century, copper was king in Butte, Montana and this city became one of the world's most important sources for the strategic metal. In the process, the wealth generated by mining and refining earned Butte, Montana the name "The Richest Hill on Earth." For many reasons unrelated to mining, Butte, Montana remains the Richest Hill on Earth.</w:t>
                  </w:r>
                </w:p>
                <w:p w14:paraId="047E3FC9" w14:textId="77777777" w:rsidR="00B63212" w:rsidRPr="00B63212" w:rsidRDefault="00B63212" w:rsidP="00B63212">
                  <w:pPr>
                    <w:spacing w:before="100" w:beforeAutospacing="1" w:after="100" w:afterAutospacing="1"/>
                    <w:rPr>
                      <w:rFonts w:ascii="Arial" w:hAnsi="Arial" w:cs="Arial"/>
                      <w:color w:val="4A3729"/>
                      <w:sz w:val="18"/>
                      <w:szCs w:val="18"/>
                    </w:rPr>
                  </w:pPr>
                  <w:r w:rsidRPr="00B63212">
                    <w:rPr>
                      <w:rFonts w:ascii="Arial" w:hAnsi="Arial" w:cs="Arial"/>
                      <w:color w:val="4A3729"/>
                      <w:sz w:val="18"/>
                      <w:szCs w:val="18"/>
                    </w:rPr>
                    <w:t>The headframes scattered across the Hill are symbols of this proud mining heritage. Called gallows frames by miners, they lowered men to work in the stopes below and on the return trip to the surface they brought up the rock in the box. They are silent sentinels of the era of underground mining that punctuate the Butte landscape like steel exclamation points.</w:t>
                  </w:r>
                </w:p>
                <w:p w14:paraId="7A61A5FB" w14:textId="77777777" w:rsidR="00B63212" w:rsidRPr="00B63212" w:rsidRDefault="00B63212" w:rsidP="00B63212">
                  <w:pPr>
                    <w:spacing w:before="100" w:beforeAutospacing="1" w:after="100" w:afterAutospacing="1"/>
                    <w:rPr>
                      <w:rFonts w:ascii="Arial" w:hAnsi="Arial" w:cs="Arial"/>
                      <w:color w:val="4A3729"/>
                      <w:sz w:val="18"/>
                      <w:szCs w:val="18"/>
                    </w:rPr>
                  </w:pPr>
                  <w:r w:rsidRPr="00B63212">
                    <w:rPr>
                      <w:rFonts w:ascii="Arial" w:hAnsi="Arial" w:cs="Arial"/>
                      <w:color w:val="4A3729"/>
                      <w:sz w:val="18"/>
                      <w:szCs w:val="18"/>
                    </w:rPr>
                    <w:t>Butte, Montana is rich in history, art and culture in the midst of one of the most beautiful areas of Southwest Montana. Rimmed by the peaks of mountain ranges, Butte provides nearby access to trout fishing, world-class golf courses, hiking, hunting, skiing, soaking (in commercial hot springs), snowmobiling, and many other outdoor recreational opportunities.</w:t>
                  </w:r>
                </w:p>
              </w:tc>
            </w:tr>
          </w:tbl>
          <w:p w14:paraId="495C314C" w14:textId="77777777" w:rsidR="00B63212" w:rsidRPr="00B63212" w:rsidRDefault="00B63212" w:rsidP="00B63212">
            <w:pPr>
              <w:spacing w:before="100" w:beforeAutospacing="1" w:after="100" w:afterAutospacing="1"/>
              <w:rPr>
                <w:rFonts w:ascii="Arial" w:hAnsi="Arial" w:cs="Arial"/>
                <w:color w:val="4A3729"/>
                <w:sz w:val="18"/>
                <w:szCs w:val="18"/>
              </w:rPr>
            </w:pPr>
            <w:r w:rsidRPr="00B63212">
              <w:rPr>
                <w:rFonts w:ascii="Times New Roman" w:hAnsi="Times New Roman" w:cs="Times New Roman"/>
                <w:b/>
                <w:bCs/>
                <w:color w:val="003399"/>
                <w:spacing w:val="15"/>
              </w:rPr>
              <w:lastRenderedPageBreak/>
              <w:t>Housing &amp; Car:</w:t>
            </w:r>
            <w:r w:rsidRPr="00B63212">
              <w:rPr>
                <w:rFonts w:ascii="Arial" w:hAnsi="Arial" w:cs="Arial"/>
                <w:color w:val="4A3729"/>
                <w:sz w:val="18"/>
                <w:szCs w:val="18"/>
              </w:rPr>
              <w:t> A car is a must for the WRITE rotation in Butte as the student works in multiple offices. Housing is either a furnished apartment in a local assisted living facility or a small cottage located next to the hospital. No pets please.</w:t>
            </w:r>
          </w:p>
          <w:tbl>
            <w:tblPr>
              <w:tblW w:w="5000" w:type="pct"/>
              <w:jc w:val="center"/>
              <w:tblCellSpacing w:w="0" w:type="dxa"/>
              <w:tblBorders>
                <w:top w:val="single" w:sz="6" w:space="0" w:color="E2A001"/>
                <w:left w:val="single" w:sz="6" w:space="0" w:color="E2A001"/>
                <w:bottom w:val="single" w:sz="6" w:space="0" w:color="E2A001"/>
                <w:right w:val="single" w:sz="6" w:space="0" w:color="E2A001"/>
              </w:tblBorders>
              <w:tblCellMar>
                <w:top w:w="100" w:type="dxa"/>
                <w:left w:w="100" w:type="dxa"/>
                <w:bottom w:w="100" w:type="dxa"/>
                <w:right w:w="100" w:type="dxa"/>
              </w:tblCellMar>
              <w:tblLook w:val="04A0" w:firstRow="1" w:lastRow="0" w:firstColumn="1" w:lastColumn="0" w:noHBand="0" w:noVBand="1"/>
            </w:tblPr>
            <w:tblGrid>
              <w:gridCol w:w="8440"/>
            </w:tblGrid>
            <w:tr w:rsidR="00B63212" w:rsidRPr="00B63212" w14:paraId="6741942B" w14:textId="77777777">
              <w:trPr>
                <w:tblCellSpacing w:w="0" w:type="dxa"/>
                <w:jc w:val="center"/>
              </w:trPr>
              <w:tc>
                <w:tcPr>
                  <w:tcW w:w="0" w:type="auto"/>
                  <w:tcMar>
                    <w:top w:w="225" w:type="dxa"/>
                    <w:left w:w="225" w:type="dxa"/>
                    <w:bottom w:w="225" w:type="dxa"/>
                    <w:right w:w="225" w:type="dxa"/>
                  </w:tcMar>
                  <w:hideMark/>
                </w:tcPr>
                <w:p w14:paraId="70DC04FA" w14:textId="77777777" w:rsidR="00B63212" w:rsidRPr="00B63212" w:rsidRDefault="00B63212" w:rsidP="00B63212">
                  <w:pPr>
                    <w:jc w:val="center"/>
                    <w:rPr>
                      <w:rFonts w:ascii="Arial" w:eastAsia="Times New Roman" w:hAnsi="Arial" w:cs="Arial"/>
                      <w:color w:val="4A3729"/>
                      <w:sz w:val="18"/>
                      <w:szCs w:val="18"/>
                    </w:rPr>
                  </w:pPr>
                  <w:r w:rsidRPr="00B63212">
                    <w:rPr>
                      <w:rFonts w:ascii="Arial" w:eastAsia="Times New Roman" w:hAnsi="Arial" w:cs="Arial"/>
                      <w:noProof/>
                      <w:color w:val="4A3729"/>
                      <w:sz w:val="18"/>
                      <w:szCs w:val="18"/>
                    </w:rPr>
                    <w:drawing>
                      <wp:inline distT="0" distB="0" distL="0" distR="0" wp14:anchorId="58876D26" wp14:editId="5E73325B">
                        <wp:extent cx="3810000" cy="3073400"/>
                        <wp:effectExtent l="0" t="0" r="0" b="0"/>
                        <wp:docPr id="1" name="Picture 1" descr="http://depts.washington.edu/write/images/writesites/photo-butte-mt-copper-king-mans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depts.washington.edu/write/images/writesites/photo-butte-mt-copper-king-mansion.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10000" cy="3073400"/>
                                </a:xfrm>
                                <a:prstGeom prst="rect">
                                  <a:avLst/>
                                </a:prstGeom>
                                <a:noFill/>
                                <a:ln>
                                  <a:noFill/>
                                </a:ln>
                              </pic:spPr>
                            </pic:pic>
                          </a:graphicData>
                        </a:graphic>
                      </wp:inline>
                    </w:drawing>
                  </w:r>
                  <w:r w:rsidRPr="00B63212">
                    <w:rPr>
                      <w:rFonts w:ascii="Arial" w:eastAsia="Times New Roman" w:hAnsi="Arial" w:cs="Arial"/>
                      <w:color w:val="4A3729"/>
                      <w:sz w:val="18"/>
                      <w:szCs w:val="18"/>
                    </w:rPr>
                    <w:br/>
                    <w:t>Copper King Mansion</w:t>
                  </w:r>
                </w:p>
                <w:p w14:paraId="43B7D8E4" w14:textId="77777777" w:rsidR="00B63212" w:rsidRPr="00B63212" w:rsidRDefault="00B63212" w:rsidP="00B63212">
                  <w:pPr>
                    <w:spacing w:before="100" w:beforeAutospacing="1" w:after="100" w:afterAutospacing="1"/>
                    <w:jc w:val="center"/>
                    <w:rPr>
                      <w:rFonts w:ascii="Arial" w:hAnsi="Arial" w:cs="Arial"/>
                      <w:color w:val="4A3729"/>
                      <w:sz w:val="18"/>
                      <w:szCs w:val="18"/>
                    </w:rPr>
                  </w:pPr>
                  <w:r w:rsidRPr="00B63212">
                    <w:rPr>
                      <w:rFonts w:ascii="Times New Roman" w:hAnsi="Times New Roman" w:cs="Times New Roman"/>
                      <w:b/>
                      <w:bCs/>
                      <w:color w:val="003399"/>
                      <w:spacing w:val="15"/>
                    </w:rPr>
                    <w:t>Extracurricular Activities:</w:t>
                  </w:r>
                </w:p>
                <w:p w14:paraId="7F087638" w14:textId="77777777" w:rsidR="00B63212" w:rsidRPr="00B63212" w:rsidRDefault="00B63212" w:rsidP="00B63212">
                  <w:pPr>
                    <w:spacing w:before="100" w:beforeAutospacing="1" w:after="100" w:afterAutospacing="1"/>
                    <w:jc w:val="center"/>
                    <w:rPr>
                      <w:rFonts w:ascii="Arial" w:hAnsi="Arial" w:cs="Arial"/>
                      <w:color w:val="4A3729"/>
                      <w:sz w:val="18"/>
                      <w:szCs w:val="18"/>
                    </w:rPr>
                  </w:pPr>
                  <w:r w:rsidRPr="00B63212">
                    <w:rPr>
                      <w:rFonts w:ascii="Arial" w:hAnsi="Arial" w:cs="Arial"/>
                      <w:b/>
                      <w:bCs/>
                      <w:color w:val="4A3729"/>
                      <w:sz w:val="18"/>
                      <w:szCs w:val="18"/>
                    </w:rPr>
                    <w:t>Golf</w:t>
                  </w:r>
                  <w:r w:rsidRPr="00B63212">
                    <w:rPr>
                      <w:rFonts w:ascii="Arial" w:hAnsi="Arial" w:cs="Arial"/>
                      <w:color w:val="4A3729"/>
                      <w:sz w:val="18"/>
                      <w:szCs w:val="18"/>
                    </w:rPr>
                    <w:br/>
                    <w:t>Butte Country Club • Highland View Golf Course</w:t>
                  </w:r>
                </w:p>
                <w:p w14:paraId="02AC48EB" w14:textId="77777777" w:rsidR="00B63212" w:rsidRPr="00B63212" w:rsidRDefault="00B63212" w:rsidP="00B63212">
                  <w:pPr>
                    <w:spacing w:before="100" w:beforeAutospacing="1" w:after="100" w:afterAutospacing="1"/>
                    <w:jc w:val="center"/>
                    <w:rPr>
                      <w:rFonts w:ascii="Arial" w:hAnsi="Arial" w:cs="Arial"/>
                      <w:color w:val="4A3729"/>
                      <w:sz w:val="18"/>
                      <w:szCs w:val="18"/>
                    </w:rPr>
                  </w:pPr>
                  <w:r w:rsidRPr="00B63212">
                    <w:rPr>
                      <w:rFonts w:ascii="Arial" w:hAnsi="Arial" w:cs="Arial"/>
                      <w:b/>
                      <w:bCs/>
                      <w:color w:val="4A3729"/>
                      <w:sz w:val="18"/>
                      <w:szCs w:val="18"/>
                    </w:rPr>
                    <w:t>Guides and Outfitters</w:t>
                  </w:r>
                  <w:r w:rsidRPr="00B63212">
                    <w:rPr>
                      <w:rFonts w:ascii="Arial" w:hAnsi="Arial" w:cs="Arial"/>
                      <w:b/>
                      <w:bCs/>
                      <w:color w:val="4A3729"/>
                      <w:sz w:val="18"/>
                      <w:szCs w:val="18"/>
                    </w:rPr>
                    <w:br/>
                  </w:r>
                  <w:r w:rsidRPr="00B63212">
                    <w:rPr>
                      <w:rFonts w:ascii="Arial" w:hAnsi="Arial" w:cs="Arial"/>
                      <w:color w:val="4A3729"/>
                      <w:sz w:val="18"/>
                      <w:szCs w:val="18"/>
                    </w:rPr>
                    <w:t>Big Sky Angling Services • Montana Professional Hunters • Tom's Fishing &amp; Bird Hunting Guide Service • Wild Skies Outfitting &amp; Mountain Company</w:t>
                  </w:r>
                </w:p>
                <w:p w14:paraId="26761B8A" w14:textId="77777777" w:rsidR="00B63212" w:rsidRPr="00B63212" w:rsidRDefault="00B63212" w:rsidP="00B63212">
                  <w:pPr>
                    <w:spacing w:before="100" w:beforeAutospacing="1" w:after="100" w:afterAutospacing="1"/>
                    <w:jc w:val="center"/>
                    <w:rPr>
                      <w:rFonts w:ascii="Arial" w:hAnsi="Arial" w:cs="Arial"/>
                      <w:color w:val="4A3729"/>
                      <w:sz w:val="18"/>
                      <w:szCs w:val="18"/>
                    </w:rPr>
                  </w:pPr>
                  <w:r w:rsidRPr="00B63212">
                    <w:rPr>
                      <w:rFonts w:ascii="Arial" w:hAnsi="Arial" w:cs="Arial"/>
                      <w:b/>
                      <w:bCs/>
                      <w:color w:val="4A3729"/>
                      <w:sz w:val="18"/>
                      <w:szCs w:val="18"/>
                    </w:rPr>
                    <w:t>National Forests</w:t>
                  </w:r>
                  <w:r w:rsidRPr="00B63212">
                    <w:rPr>
                      <w:rFonts w:ascii="Arial" w:hAnsi="Arial" w:cs="Arial"/>
                      <w:color w:val="4A3729"/>
                      <w:sz w:val="18"/>
                      <w:szCs w:val="18"/>
                    </w:rPr>
                    <w:br/>
                    <w:t>Beaverhead-</w:t>
                  </w:r>
                  <w:proofErr w:type="spellStart"/>
                  <w:r w:rsidRPr="00B63212">
                    <w:rPr>
                      <w:rFonts w:ascii="Arial" w:hAnsi="Arial" w:cs="Arial"/>
                      <w:color w:val="4A3729"/>
                      <w:sz w:val="18"/>
                      <w:szCs w:val="18"/>
                    </w:rPr>
                    <w:t>Deerlodge</w:t>
                  </w:r>
                  <w:proofErr w:type="spellEnd"/>
                  <w:r w:rsidRPr="00B63212">
                    <w:rPr>
                      <w:rFonts w:ascii="Arial" w:hAnsi="Arial" w:cs="Arial"/>
                      <w:color w:val="4A3729"/>
                      <w:sz w:val="18"/>
                      <w:szCs w:val="18"/>
                    </w:rPr>
                    <w:t xml:space="preserve"> National Forest • Helena National Forest</w:t>
                  </w:r>
                </w:p>
                <w:p w14:paraId="1C0B5182" w14:textId="77777777" w:rsidR="00B63212" w:rsidRPr="00B63212" w:rsidRDefault="00B63212" w:rsidP="00B63212">
                  <w:pPr>
                    <w:spacing w:before="100" w:beforeAutospacing="1" w:after="100" w:afterAutospacing="1"/>
                    <w:jc w:val="center"/>
                    <w:rPr>
                      <w:rFonts w:ascii="Arial" w:hAnsi="Arial" w:cs="Arial"/>
                      <w:color w:val="4A3729"/>
                      <w:sz w:val="18"/>
                      <w:szCs w:val="18"/>
                    </w:rPr>
                  </w:pPr>
                  <w:r w:rsidRPr="00B63212">
                    <w:rPr>
                      <w:rFonts w:ascii="Arial" w:hAnsi="Arial" w:cs="Arial"/>
                      <w:b/>
                      <w:bCs/>
                      <w:color w:val="4A3729"/>
                      <w:sz w:val="18"/>
                      <w:szCs w:val="18"/>
                    </w:rPr>
                    <w:t>Tours</w:t>
                  </w:r>
                  <w:r w:rsidRPr="00B63212">
                    <w:rPr>
                      <w:rFonts w:ascii="Arial" w:hAnsi="Arial" w:cs="Arial"/>
                      <w:color w:val="4A3729"/>
                      <w:sz w:val="18"/>
                      <w:szCs w:val="18"/>
                    </w:rPr>
                    <w:br/>
                    <w:t>Copper King Mansion • Ghost Walks - The World Museum of Mining • Old Butte Historical Adventures • Our Lady of the Rockies</w:t>
                  </w:r>
                </w:p>
                <w:p w14:paraId="7942A092" w14:textId="77777777" w:rsidR="00B63212" w:rsidRPr="00B63212" w:rsidRDefault="00B63212" w:rsidP="00B63212">
                  <w:pPr>
                    <w:spacing w:before="100" w:beforeAutospacing="1" w:after="100" w:afterAutospacing="1"/>
                    <w:jc w:val="center"/>
                    <w:rPr>
                      <w:rFonts w:ascii="Times New Roman" w:hAnsi="Times New Roman" w:cs="Times New Roman"/>
                      <w:b/>
                      <w:bCs/>
                      <w:color w:val="003399"/>
                      <w:spacing w:val="15"/>
                    </w:rPr>
                  </w:pPr>
                  <w:r w:rsidRPr="00B63212">
                    <w:rPr>
                      <w:rFonts w:ascii="Times New Roman" w:hAnsi="Times New Roman" w:cs="Times New Roman"/>
                      <w:b/>
                      <w:bCs/>
                      <w:color w:val="003399"/>
                      <w:spacing w:val="15"/>
                    </w:rPr>
                    <w:t>Popular Community Events:</w:t>
                  </w:r>
                </w:p>
                <w:p w14:paraId="0C16F1A9" w14:textId="77777777" w:rsidR="00B63212" w:rsidRPr="00B63212" w:rsidRDefault="00B63212" w:rsidP="00B63212">
                  <w:pPr>
                    <w:spacing w:before="100" w:beforeAutospacing="1" w:after="100" w:afterAutospacing="1"/>
                    <w:jc w:val="center"/>
                    <w:rPr>
                      <w:rFonts w:ascii="Arial" w:hAnsi="Arial" w:cs="Arial"/>
                      <w:color w:val="4A3729"/>
                      <w:sz w:val="18"/>
                      <w:szCs w:val="18"/>
                    </w:rPr>
                  </w:pPr>
                  <w:r w:rsidRPr="00B63212">
                    <w:rPr>
                      <w:rFonts w:ascii="Arial" w:hAnsi="Arial" w:cs="Arial"/>
                      <w:color w:val="4A3729"/>
                      <w:sz w:val="18"/>
                      <w:szCs w:val="18"/>
                    </w:rPr>
                    <w:t xml:space="preserve">The Chinese New Year's Parade • St. Urho's Day • St. Patrick's Day • Butte Freedom Festival • 1st Annual Montana Folk Festival • </w:t>
                  </w:r>
                  <w:proofErr w:type="spellStart"/>
                  <w:r w:rsidRPr="00B63212">
                    <w:rPr>
                      <w:rFonts w:ascii="Arial" w:hAnsi="Arial" w:cs="Arial"/>
                      <w:color w:val="4A3729"/>
                      <w:sz w:val="18"/>
                      <w:szCs w:val="18"/>
                    </w:rPr>
                    <w:t>Evel</w:t>
                  </w:r>
                  <w:proofErr w:type="spellEnd"/>
                  <w:r w:rsidRPr="00B63212">
                    <w:rPr>
                      <w:rFonts w:ascii="Arial" w:hAnsi="Arial" w:cs="Arial"/>
                      <w:color w:val="4A3729"/>
                      <w:sz w:val="18"/>
                      <w:szCs w:val="18"/>
                    </w:rPr>
                    <w:t xml:space="preserve"> Knievel Days • Montana Irish Festival • Farmers' Market • Annual Christmas Stroll • Annual Ice Sculpting Contest</w:t>
                  </w:r>
                </w:p>
              </w:tc>
            </w:tr>
          </w:tbl>
          <w:p w14:paraId="59DE232A" w14:textId="77777777" w:rsidR="00B63212" w:rsidRPr="00B63212" w:rsidRDefault="00B63212" w:rsidP="00B63212">
            <w:pPr>
              <w:spacing w:before="100" w:beforeAutospacing="1" w:after="100" w:afterAutospacing="1"/>
              <w:rPr>
                <w:rFonts w:ascii="Arial" w:hAnsi="Arial" w:cs="Arial"/>
                <w:color w:val="4A3729"/>
                <w:sz w:val="18"/>
                <w:szCs w:val="18"/>
              </w:rPr>
            </w:pPr>
            <w:r w:rsidRPr="00B63212">
              <w:rPr>
                <w:rFonts w:ascii="Times New Roman" w:hAnsi="Times New Roman" w:cs="Times New Roman"/>
                <w:b/>
                <w:bCs/>
                <w:color w:val="003399"/>
                <w:spacing w:val="15"/>
              </w:rPr>
              <w:lastRenderedPageBreak/>
              <w:t>Climate:</w:t>
            </w:r>
            <w:r w:rsidRPr="00B63212">
              <w:rPr>
                <w:rFonts w:ascii="Arial" w:hAnsi="Arial" w:cs="Arial"/>
                <w:color w:val="4A3729"/>
                <w:sz w:val="18"/>
                <w:szCs w:val="18"/>
              </w:rPr>
              <w:br/>
              <w:t>Butte, MT climate is mild during summer when temperatures tend to be in the 60's and extremely cold during winter when temperatures tend to be in the 10's.</w:t>
            </w:r>
          </w:p>
          <w:p w14:paraId="39F7F187" w14:textId="77777777" w:rsidR="00B63212" w:rsidRPr="00B63212" w:rsidRDefault="00B63212" w:rsidP="00B63212">
            <w:pPr>
              <w:spacing w:before="100" w:beforeAutospacing="1" w:after="100" w:afterAutospacing="1"/>
              <w:rPr>
                <w:rFonts w:ascii="Arial" w:hAnsi="Arial" w:cs="Arial"/>
                <w:color w:val="4A3729"/>
                <w:sz w:val="18"/>
                <w:szCs w:val="18"/>
              </w:rPr>
            </w:pPr>
            <w:r w:rsidRPr="00B63212">
              <w:rPr>
                <w:rFonts w:ascii="Arial" w:hAnsi="Arial" w:cs="Arial"/>
                <w:color w:val="4A3729"/>
                <w:sz w:val="18"/>
                <w:szCs w:val="18"/>
              </w:rPr>
              <w:t>The warmest month of the year is July with an average maximum temperature of 79.80 degrees Fahrenheit, while the coldest month of the year is January with an average minimum temperature of 5.40 degrees Fahrenheit.</w:t>
            </w:r>
          </w:p>
          <w:p w14:paraId="77F997C3" w14:textId="77777777" w:rsidR="00B63212" w:rsidRPr="00B63212" w:rsidRDefault="00B63212" w:rsidP="00B63212">
            <w:pPr>
              <w:spacing w:before="100" w:beforeAutospacing="1" w:after="100" w:afterAutospacing="1"/>
              <w:rPr>
                <w:rFonts w:ascii="Arial" w:hAnsi="Arial" w:cs="Arial"/>
                <w:color w:val="4A3729"/>
                <w:sz w:val="18"/>
                <w:szCs w:val="18"/>
              </w:rPr>
            </w:pPr>
            <w:r w:rsidRPr="00B63212">
              <w:rPr>
                <w:rFonts w:ascii="Arial" w:hAnsi="Arial" w:cs="Arial"/>
                <w:color w:val="4A3729"/>
                <w:sz w:val="18"/>
                <w:szCs w:val="18"/>
              </w:rPr>
              <w:t>Temperature variations between night and day tend to be relatively big during summer with a difference that can reach 35 degrees Fahrenheit, and moderate during winter with an average difference of 25 degrees Fahrenheit.</w:t>
            </w:r>
          </w:p>
          <w:p w14:paraId="3D401E3C" w14:textId="77777777" w:rsidR="00B63212" w:rsidRPr="00B63212" w:rsidRDefault="00B63212" w:rsidP="00B63212">
            <w:pPr>
              <w:spacing w:before="100" w:beforeAutospacing="1" w:after="100" w:afterAutospacing="1"/>
              <w:rPr>
                <w:rFonts w:ascii="Arial" w:hAnsi="Arial" w:cs="Arial"/>
                <w:color w:val="4A3729"/>
                <w:sz w:val="18"/>
                <w:szCs w:val="18"/>
              </w:rPr>
            </w:pPr>
            <w:r w:rsidRPr="00B63212">
              <w:rPr>
                <w:rFonts w:ascii="Arial" w:hAnsi="Arial" w:cs="Arial"/>
                <w:color w:val="4A3729"/>
                <w:sz w:val="18"/>
                <w:szCs w:val="18"/>
              </w:rPr>
              <w:t>The annual average precipitation at Butte is 12.78 Inches. Rainfall in is fairly evenly distributed throughout the year. The wettest month of the year is June with an average rainfall of 2.07 Inches.</w:t>
            </w:r>
          </w:p>
        </w:tc>
      </w:tr>
    </w:tbl>
    <w:p w14:paraId="7C908982" w14:textId="77777777" w:rsidR="003A4F4F" w:rsidRDefault="003A4F4F"/>
    <w:sectPr w:rsidR="003A4F4F" w:rsidSect="005433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43" w:usb2="00000009" w:usb3="00000000" w:csb0="000001FF" w:csb1="00000000"/>
  </w:font>
  <w:font w:name="MingLiU">
    <w:altName w:val="Microsoft JhengHei"/>
    <w:panose1 w:val="02010609000101010101"/>
    <w:charset w:val="88"/>
    <w:family w:val="auto"/>
    <w:pitch w:val="variable"/>
    <w:sig w:usb0="00000000" w:usb1="28CFFCFA" w:usb2="00000016" w:usb3="00000000" w:csb0="00100001"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212"/>
    <w:rsid w:val="0022500A"/>
    <w:rsid w:val="003A4F4F"/>
    <w:rsid w:val="00543379"/>
    <w:rsid w:val="0074236A"/>
    <w:rsid w:val="00B63212"/>
    <w:rsid w:val="00C34C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0386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gemaintitle">
    <w:name w:val="pagemaintitle"/>
    <w:basedOn w:val="Normal"/>
    <w:rsid w:val="00B63212"/>
    <w:pPr>
      <w:spacing w:before="100" w:beforeAutospacing="1" w:after="100" w:afterAutospacing="1"/>
    </w:pPr>
    <w:rPr>
      <w:rFonts w:ascii="Times New Roman" w:hAnsi="Times New Roman" w:cs="Times New Roman"/>
    </w:rPr>
  </w:style>
  <w:style w:type="paragraph" w:styleId="NormalWeb">
    <w:name w:val="Normal (Web)"/>
    <w:basedOn w:val="Normal"/>
    <w:uiPriority w:val="99"/>
    <w:semiHidden/>
    <w:unhideWhenUsed/>
    <w:rsid w:val="00B63212"/>
    <w:pPr>
      <w:spacing w:before="100" w:beforeAutospacing="1" w:after="100" w:afterAutospacing="1"/>
    </w:pPr>
    <w:rPr>
      <w:rFonts w:ascii="Times New Roman" w:hAnsi="Times New Roman" w:cs="Times New Roman"/>
    </w:rPr>
  </w:style>
  <w:style w:type="character" w:styleId="Strong">
    <w:name w:val="Strong"/>
    <w:basedOn w:val="DefaultParagraphFont"/>
    <w:uiPriority w:val="22"/>
    <w:qFormat/>
    <w:rsid w:val="00B63212"/>
    <w:rPr>
      <w:b/>
      <w:bCs/>
    </w:rPr>
  </w:style>
  <w:style w:type="character" w:customStyle="1" w:styleId="apple-converted-space">
    <w:name w:val="apple-converted-space"/>
    <w:basedOn w:val="DefaultParagraphFont"/>
    <w:rsid w:val="00B63212"/>
  </w:style>
  <w:style w:type="character" w:styleId="Hyperlink">
    <w:name w:val="Hyperlink"/>
    <w:basedOn w:val="DefaultParagraphFont"/>
    <w:uiPriority w:val="99"/>
    <w:unhideWhenUsed/>
    <w:rsid w:val="00B63212"/>
    <w:rPr>
      <w:color w:val="0000FF"/>
      <w:u w:val="single"/>
    </w:rPr>
  </w:style>
  <w:style w:type="character" w:customStyle="1" w:styleId="writesitecontenttitle">
    <w:name w:val="writesitecontenttitle"/>
    <w:basedOn w:val="DefaultParagraphFont"/>
    <w:rsid w:val="00B63212"/>
  </w:style>
  <w:style w:type="paragraph" w:customStyle="1" w:styleId="writesitecontenttitle1">
    <w:name w:val="writesitecontenttitle1"/>
    <w:basedOn w:val="Normal"/>
    <w:rsid w:val="00B63212"/>
    <w:pPr>
      <w:spacing w:before="100" w:beforeAutospacing="1" w:after="100" w:afterAutospacing="1"/>
    </w:pPr>
    <w:rPr>
      <w:rFonts w:ascii="Times New Roman" w:hAnsi="Times New Roman" w:cs="Times New Roman"/>
    </w:rPr>
  </w:style>
  <w:style w:type="paragraph" w:styleId="DocumentMap">
    <w:name w:val="Document Map"/>
    <w:basedOn w:val="Normal"/>
    <w:link w:val="DocumentMapChar"/>
    <w:uiPriority w:val="99"/>
    <w:semiHidden/>
    <w:unhideWhenUsed/>
    <w:rsid w:val="00B63212"/>
    <w:rPr>
      <w:rFonts w:ascii="Times New Roman" w:hAnsi="Times New Roman" w:cs="Times New Roman"/>
    </w:rPr>
  </w:style>
  <w:style w:type="character" w:customStyle="1" w:styleId="DocumentMapChar">
    <w:name w:val="Document Map Char"/>
    <w:basedOn w:val="DefaultParagraphFont"/>
    <w:link w:val="DocumentMap"/>
    <w:uiPriority w:val="99"/>
    <w:semiHidden/>
    <w:rsid w:val="00B63212"/>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0206139">
      <w:bodyDiv w:val="1"/>
      <w:marLeft w:val="0"/>
      <w:marRight w:val="0"/>
      <w:marTop w:val="0"/>
      <w:marBottom w:val="0"/>
      <w:divBdr>
        <w:top w:val="none" w:sz="0" w:space="0" w:color="auto"/>
        <w:left w:val="none" w:sz="0" w:space="0" w:color="auto"/>
        <w:bottom w:val="none" w:sz="0" w:space="0" w:color="auto"/>
        <w:right w:val="none" w:sz="0" w:space="0" w:color="auto"/>
      </w:divBdr>
    </w:div>
    <w:div w:id="210784440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ily.Stenson@sclhs.net"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jendy@swmtchc.org" TargetMode="External"/><Relationship Id="rId12" Type="http://schemas.openxmlformats.org/officeDocument/2006/relationships/image" Target="media/image6.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brewer@swmtchc.org" TargetMode="External"/><Relationship Id="rId11" Type="http://schemas.openxmlformats.org/officeDocument/2006/relationships/image" Target="media/image5.jpeg"/><Relationship Id="rId5" Type="http://schemas.openxmlformats.org/officeDocument/2006/relationships/image" Target="media/image2.jpeg"/><Relationship Id="rId10" Type="http://schemas.openxmlformats.org/officeDocument/2006/relationships/image" Target="media/image4.jpeg"/><Relationship Id="rId4" Type="http://schemas.openxmlformats.org/officeDocument/2006/relationships/image" Target="media/image1.jpeg"/><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1058</Words>
  <Characters>6032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Stacey L. Morrison</dc:creator>
  <cp:keywords/>
  <dc:description/>
  <cp:lastModifiedBy>Stephanie Drake</cp:lastModifiedBy>
  <cp:revision>2</cp:revision>
  <dcterms:created xsi:type="dcterms:W3CDTF">2017-10-23T21:18:00Z</dcterms:created>
  <dcterms:modified xsi:type="dcterms:W3CDTF">2017-10-23T21:18:00Z</dcterms:modified>
</cp:coreProperties>
</file>