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A91" w:rsidRPr="00321F34" w:rsidRDefault="00A96A91" w:rsidP="00321F34">
      <w:pPr>
        <w:jc w:val="center"/>
        <w:rPr>
          <w:rFonts w:ascii="Helvetica" w:hAnsi="Helvetica" w:cs="Helvetica"/>
          <w:b/>
          <w:bCs/>
          <w:i/>
          <w:iCs/>
          <w:sz w:val="20"/>
        </w:rPr>
      </w:pPr>
      <w:bookmarkStart w:id="0" w:name="_GoBack"/>
      <w:bookmarkEnd w:id="0"/>
      <w:r>
        <w:rPr>
          <w:rFonts w:cs="Arial"/>
          <w:b/>
          <w:noProof/>
          <w:sz w:val="20"/>
        </w:rPr>
        <w:drawing>
          <wp:inline distT="0" distB="0" distL="0" distR="0" wp14:anchorId="4D12EBF0" wp14:editId="69F23964">
            <wp:extent cx="1778000" cy="317500"/>
            <wp:effectExtent l="0" t="0" r="0" b="12700"/>
            <wp:docPr id="1"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317500"/>
                    </a:xfrm>
                    <a:prstGeom prst="rect">
                      <a:avLst/>
                    </a:prstGeom>
                    <a:noFill/>
                    <a:ln>
                      <a:noFill/>
                    </a:ln>
                  </pic:spPr>
                </pic:pic>
              </a:graphicData>
            </a:graphic>
          </wp:inline>
        </w:drawing>
      </w:r>
    </w:p>
    <w:p w:rsidR="00A96A91" w:rsidRPr="00A96A91" w:rsidRDefault="00A96A91" w:rsidP="00647029">
      <w:pPr>
        <w:rPr>
          <w:rFonts w:ascii="Helvetica" w:hAnsi="Helvetica" w:cs="Helvetica"/>
          <w:bCs/>
          <w:iCs/>
          <w:sz w:val="20"/>
        </w:rPr>
      </w:pPr>
    </w:p>
    <w:p w:rsidR="00C220C6" w:rsidRDefault="00C220C6" w:rsidP="00C220C6">
      <w:pPr>
        <w:jc w:val="center"/>
        <w:rPr>
          <w:rFonts w:ascii="Arial" w:hAnsi="Arial" w:cs="Arial"/>
          <w:b/>
          <w:sz w:val="20"/>
          <w:szCs w:val="20"/>
        </w:rPr>
      </w:pPr>
      <w:r w:rsidRPr="00EA245E">
        <w:rPr>
          <w:rFonts w:ascii="Arial" w:hAnsi="Arial" w:cs="Arial"/>
          <w:b/>
          <w:sz w:val="20"/>
          <w:szCs w:val="20"/>
        </w:rPr>
        <w:t>FAST FACTS AND CONCEPTS #</w:t>
      </w:r>
      <w:r>
        <w:rPr>
          <w:rFonts w:ascii="Arial" w:hAnsi="Arial" w:cs="Arial"/>
          <w:b/>
          <w:sz w:val="20"/>
          <w:szCs w:val="20"/>
        </w:rPr>
        <w:t>321</w:t>
      </w:r>
    </w:p>
    <w:p w:rsidR="00C220C6" w:rsidRDefault="00C220C6" w:rsidP="00C220C6">
      <w:pPr>
        <w:jc w:val="center"/>
        <w:rPr>
          <w:rFonts w:ascii="Arial" w:hAnsi="Arial" w:cs="Arial"/>
          <w:b/>
          <w:sz w:val="20"/>
          <w:szCs w:val="20"/>
        </w:rPr>
      </w:pPr>
      <w:r>
        <w:rPr>
          <w:rFonts w:ascii="Arial" w:hAnsi="Arial" w:cs="Arial"/>
          <w:b/>
          <w:sz w:val="20"/>
          <w:szCs w:val="20"/>
        </w:rPr>
        <w:t>DEPRESCRIBING</w:t>
      </w:r>
    </w:p>
    <w:p w:rsidR="00C220C6" w:rsidRPr="00701FC5" w:rsidRDefault="00C220C6" w:rsidP="00701FC5">
      <w:pPr>
        <w:spacing w:before="120" w:after="120"/>
        <w:jc w:val="center"/>
        <w:rPr>
          <w:rFonts w:ascii="Arial" w:hAnsi="Arial" w:cs="Arial"/>
          <w:b/>
          <w:sz w:val="20"/>
          <w:szCs w:val="20"/>
        </w:rPr>
      </w:pPr>
      <w:r>
        <w:rPr>
          <w:rFonts w:ascii="Arial" w:hAnsi="Arial" w:cs="Arial"/>
          <w:b/>
          <w:sz w:val="20"/>
          <w:szCs w:val="20"/>
        </w:rPr>
        <w:t>Jennifer Pruskowski, PharmD</w:t>
      </w:r>
    </w:p>
    <w:p w:rsidR="00C220C6" w:rsidRDefault="00C220C6" w:rsidP="00701FC5">
      <w:pPr>
        <w:pStyle w:val="Default"/>
        <w:rPr>
          <w:iCs/>
          <w:sz w:val="20"/>
          <w:szCs w:val="20"/>
        </w:rPr>
      </w:pPr>
      <w:r>
        <w:rPr>
          <w:sz w:val="20"/>
          <w:szCs w:val="20"/>
        </w:rPr>
        <w:t>Deprescribing is the systematic process of discontinuing medications used for the</w:t>
      </w:r>
      <w:r w:rsidR="00701FC5">
        <w:rPr>
          <w:sz w:val="20"/>
          <w:szCs w:val="20"/>
        </w:rPr>
        <w:t xml:space="preserve"> management of chronic illness</w:t>
      </w:r>
      <w:r>
        <w:rPr>
          <w:sz w:val="20"/>
          <w:szCs w:val="20"/>
        </w:rPr>
        <w:t xml:space="preserve"> as patients’ survival time decreases. This </w:t>
      </w:r>
      <w:r w:rsidRPr="006F3DF7">
        <w:rPr>
          <w:i/>
          <w:sz w:val="20"/>
          <w:szCs w:val="20"/>
        </w:rPr>
        <w:t>Fast Fact</w:t>
      </w:r>
      <w:r>
        <w:rPr>
          <w:sz w:val="20"/>
          <w:szCs w:val="20"/>
        </w:rPr>
        <w:t xml:space="preserve"> will examine the barriers to deprescribing and describe a possible implementation model. See </w:t>
      </w:r>
      <w:r w:rsidRPr="00F975D7">
        <w:rPr>
          <w:i/>
          <w:sz w:val="20"/>
          <w:szCs w:val="20"/>
        </w:rPr>
        <w:t>Fast Fact</w:t>
      </w:r>
      <w:r>
        <w:rPr>
          <w:i/>
          <w:sz w:val="20"/>
          <w:szCs w:val="20"/>
        </w:rPr>
        <w:t>s</w:t>
      </w:r>
      <w:r>
        <w:rPr>
          <w:sz w:val="20"/>
          <w:szCs w:val="20"/>
        </w:rPr>
        <w:t xml:space="preserve"> # 236, 258, 278, and 322 for more specific guidance on deprescribing anticoagulants, insulin, and HMG-CoA recuctase inhibitors (statins).</w:t>
      </w:r>
    </w:p>
    <w:p w:rsidR="00C220C6" w:rsidRDefault="00C220C6" w:rsidP="00C220C6">
      <w:pPr>
        <w:pStyle w:val="Default"/>
        <w:rPr>
          <w:iCs/>
          <w:sz w:val="20"/>
          <w:szCs w:val="20"/>
        </w:rPr>
      </w:pPr>
    </w:p>
    <w:p w:rsidR="00C220C6" w:rsidRDefault="00C220C6" w:rsidP="00C220C6">
      <w:pPr>
        <w:pStyle w:val="Default"/>
        <w:rPr>
          <w:iCs/>
          <w:sz w:val="20"/>
          <w:szCs w:val="20"/>
        </w:rPr>
      </w:pPr>
      <w:r w:rsidRPr="005102BC">
        <w:rPr>
          <w:b/>
          <w:iCs/>
          <w:sz w:val="20"/>
          <w:szCs w:val="20"/>
        </w:rPr>
        <w:t>Potentially Inappropriate Medications at the End of Life</w:t>
      </w:r>
      <w:r>
        <w:rPr>
          <w:iCs/>
          <w:sz w:val="20"/>
          <w:szCs w:val="20"/>
        </w:rPr>
        <w:t xml:space="preserve">    There are many evidence-based guidelines for the initiation of pharmacologic therapy, however few address </w:t>
      </w:r>
      <w:proofErr w:type="gramStart"/>
      <w:r>
        <w:rPr>
          <w:iCs/>
          <w:sz w:val="20"/>
          <w:szCs w:val="20"/>
        </w:rPr>
        <w:t>discontinuation</w:t>
      </w:r>
      <w:proofErr w:type="gramEnd"/>
      <w:r>
        <w:rPr>
          <w:iCs/>
          <w:sz w:val="20"/>
          <w:szCs w:val="20"/>
        </w:rPr>
        <w:t>.  This unbalance, along with other barriers described below, often leaves patients on an abundance of medications near the end-of-life.  Research has suggested the use of preventive medications such as aspirin, anti-hypertensives, and statins ranges between 29-51%</w:t>
      </w:r>
      <w:r w:rsidR="00701FC5">
        <w:rPr>
          <w:iCs/>
          <w:sz w:val="20"/>
          <w:szCs w:val="20"/>
        </w:rPr>
        <w:t xml:space="preserve"> in patients with a limited life expectancy</w:t>
      </w:r>
      <w:r>
        <w:rPr>
          <w:iCs/>
          <w:sz w:val="20"/>
          <w:szCs w:val="20"/>
        </w:rPr>
        <w:t xml:space="preserve">, even though the time-frame of likely benefit for these medications may be far longer than a patient’s expected survival (1,2).  If the preventative medication is not related to the hospice diagnosis, hospice patients may have to pay for it out of pocket to continue.  Often symptom-based medications are added to the end of life care plan (3). </w:t>
      </w:r>
      <w:r>
        <w:rPr>
          <w:rStyle w:val="CommentReference"/>
          <w:color w:val="auto"/>
          <w:sz w:val="20"/>
          <w:szCs w:val="20"/>
        </w:rPr>
        <w:t>Beyond this</w:t>
      </w:r>
      <w:r>
        <w:rPr>
          <w:iCs/>
          <w:sz w:val="20"/>
          <w:szCs w:val="20"/>
        </w:rPr>
        <w:t xml:space="preserve">, many patients also may be taking vitamins, herbals or other supplements.  Consequently, pill-burden can lead to unnecessary adverse drug reactions and cost at the end of life.  </w:t>
      </w:r>
    </w:p>
    <w:p w:rsidR="00C220C6" w:rsidRDefault="00C220C6" w:rsidP="00C220C6">
      <w:pPr>
        <w:pStyle w:val="Default"/>
        <w:rPr>
          <w:iCs/>
          <w:sz w:val="20"/>
          <w:szCs w:val="20"/>
        </w:rPr>
      </w:pPr>
    </w:p>
    <w:p w:rsidR="00C220C6" w:rsidRPr="00BD1ED2" w:rsidRDefault="00C220C6" w:rsidP="00C220C6">
      <w:pPr>
        <w:pStyle w:val="Default"/>
        <w:rPr>
          <w:sz w:val="20"/>
          <w:szCs w:val="20"/>
        </w:rPr>
      </w:pPr>
      <w:r w:rsidRPr="005102BC">
        <w:rPr>
          <w:b/>
          <w:iCs/>
          <w:sz w:val="20"/>
          <w:szCs w:val="20"/>
        </w:rPr>
        <w:t>Deprescribing</w:t>
      </w:r>
      <w:r>
        <w:rPr>
          <w:iCs/>
          <w:sz w:val="20"/>
          <w:szCs w:val="20"/>
        </w:rPr>
        <w:t xml:space="preserve"> involves</w:t>
      </w:r>
      <w:r w:rsidRPr="00BD1ED2">
        <w:rPr>
          <w:sz w:val="20"/>
          <w:szCs w:val="20"/>
        </w:rPr>
        <w:t xml:space="preserve"> </w:t>
      </w:r>
      <w:r>
        <w:rPr>
          <w:sz w:val="20"/>
          <w:szCs w:val="20"/>
        </w:rPr>
        <w:t xml:space="preserve">a systematic </w:t>
      </w:r>
      <w:r w:rsidR="00701FC5">
        <w:rPr>
          <w:sz w:val="20"/>
          <w:szCs w:val="20"/>
        </w:rPr>
        <w:t xml:space="preserve">clinical </w:t>
      </w:r>
      <w:r>
        <w:rPr>
          <w:sz w:val="20"/>
          <w:szCs w:val="20"/>
        </w:rPr>
        <w:t xml:space="preserve">approach to </w:t>
      </w:r>
      <w:r w:rsidRPr="00BD1ED2">
        <w:rPr>
          <w:sz w:val="20"/>
          <w:szCs w:val="20"/>
        </w:rPr>
        <w:t xml:space="preserve">identifying and discontinuing drugs </w:t>
      </w:r>
      <w:r>
        <w:rPr>
          <w:sz w:val="20"/>
          <w:szCs w:val="20"/>
        </w:rPr>
        <w:t>for</w:t>
      </w:r>
      <w:r w:rsidRPr="00BD1ED2">
        <w:rPr>
          <w:sz w:val="20"/>
          <w:szCs w:val="20"/>
        </w:rPr>
        <w:t xml:space="preserve"> which </w:t>
      </w:r>
      <w:r>
        <w:rPr>
          <w:sz w:val="20"/>
          <w:szCs w:val="20"/>
        </w:rPr>
        <w:t xml:space="preserve">the </w:t>
      </w:r>
      <w:r w:rsidRPr="00BD1ED2">
        <w:rPr>
          <w:bCs/>
          <w:sz w:val="20"/>
          <w:szCs w:val="20"/>
        </w:rPr>
        <w:t xml:space="preserve">harms </w:t>
      </w:r>
      <w:r w:rsidRPr="0082725A">
        <w:rPr>
          <w:bCs/>
          <w:sz w:val="20"/>
          <w:szCs w:val="20"/>
        </w:rPr>
        <w:t xml:space="preserve">outweigh benefits </w:t>
      </w:r>
      <w:r w:rsidRPr="0082725A">
        <w:rPr>
          <w:sz w:val="20"/>
          <w:szCs w:val="20"/>
        </w:rPr>
        <w:t xml:space="preserve">within the context of an individual </w:t>
      </w:r>
      <w:r w:rsidRPr="0082725A">
        <w:rPr>
          <w:iCs/>
          <w:sz w:val="20"/>
          <w:szCs w:val="20"/>
        </w:rPr>
        <w:t>patient’s care goals, level of functioning, and life expectancy (</w:t>
      </w:r>
      <w:r>
        <w:rPr>
          <w:iCs/>
          <w:sz w:val="20"/>
          <w:szCs w:val="20"/>
        </w:rPr>
        <w:t>4</w:t>
      </w:r>
      <w:r w:rsidRPr="0082725A">
        <w:rPr>
          <w:iCs/>
          <w:sz w:val="20"/>
          <w:szCs w:val="20"/>
        </w:rPr>
        <w:t xml:space="preserve">).  Deprescribing should be considered in any patient with a life-limiting illness </w:t>
      </w:r>
      <w:r>
        <w:rPr>
          <w:iCs/>
          <w:sz w:val="20"/>
          <w:szCs w:val="20"/>
        </w:rPr>
        <w:t>(e.g. any patient for whom clinicians would not be surprised if he or she died in a year) especially when an</w:t>
      </w:r>
      <w:r w:rsidRPr="0082725A">
        <w:rPr>
          <w:iCs/>
          <w:sz w:val="20"/>
          <w:szCs w:val="20"/>
        </w:rPr>
        <w:t xml:space="preserve"> adverse drug effect</w:t>
      </w:r>
      <w:r>
        <w:rPr>
          <w:iCs/>
          <w:sz w:val="20"/>
          <w:szCs w:val="20"/>
        </w:rPr>
        <w:t xml:space="preserve"> is suspected (5)</w:t>
      </w:r>
      <w:r w:rsidRPr="0082725A">
        <w:rPr>
          <w:iCs/>
          <w:sz w:val="20"/>
          <w:szCs w:val="20"/>
        </w:rPr>
        <w:t>.  Specific medications that</w:t>
      </w:r>
      <w:r>
        <w:rPr>
          <w:iCs/>
          <w:sz w:val="20"/>
          <w:szCs w:val="20"/>
        </w:rPr>
        <w:t xml:space="preserve"> </w:t>
      </w:r>
      <w:r w:rsidRPr="0082725A">
        <w:rPr>
          <w:iCs/>
          <w:sz w:val="20"/>
          <w:szCs w:val="20"/>
        </w:rPr>
        <w:t>should be considered for deprescribing include: aspirin</w:t>
      </w:r>
      <w:r>
        <w:rPr>
          <w:iCs/>
          <w:sz w:val="20"/>
          <w:szCs w:val="20"/>
        </w:rPr>
        <w:t>,</w:t>
      </w:r>
      <w:r w:rsidRPr="0082725A">
        <w:rPr>
          <w:iCs/>
          <w:sz w:val="20"/>
          <w:szCs w:val="20"/>
        </w:rPr>
        <w:t xml:space="preserve"> anticoagulants, anti-hypertensives, </w:t>
      </w:r>
      <w:r>
        <w:rPr>
          <w:color w:val="222222"/>
          <w:sz w:val="20"/>
          <w:szCs w:val="20"/>
          <w:lang w:val="en"/>
        </w:rPr>
        <w:t>statins, and anti-diabetic medications (6,7).  In addition, clinicians should review over-the-counter medications,</w:t>
      </w:r>
      <w:r w:rsidRPr="0082725A">
        <w:rPr>
          <w:color w:val="222222"/>
          <w:sz w:val="20"/>
          <w:szCs w:val="20"/>
          <w:lang w:val="en"/>
        </w:rPr>
        <w:t xml:space="preserve"> vitamins, herbals</w:t>
      </w:r>
      <w:r>
        <w:rPr>
          <w:color w:val="222222"/>
          <w:sz w:val="20"/>
          <w:szCs w:val="20"/>
          <w:lang w:val="en"/>
        </w:rPr>
        <w:t>,</w:t>
      </w:r>
      <w:r w:rsidRPr="0082725A">
        <w:rPr>
          <w:color w:val="222222"/>
          <w:sz w:val="20"/>
          <w:szCs w:val="20"/>
          <w:lang w:val="en"/>
        </w:rPr>
        <w:t xml:space="preserve"> and supplements</w:t>
      </w:r>
      <w:r>
        <w:rPr>
          <w:color w:val="222222"/>
          <w:sz w:val="20"/>
          <w:szCs w:val="20"/>
          <w:lang w:val="en"/>
        </w:rPr>
        <w:t xml:space="preserve"> with patients to determine if they still have ongoing role in their care</w:t>
      </w:r>
      <w:r w:rsidRPr="0082725A">
        <w:rPr>
          <w:color w:val="222222"/>
          <w:sz w:val="20"/>
          <w:szCs w:val="20"/>
          <w:lang w:val="en"/>
        </w:rPr>
        <w:t>.</w:t>
      </w:r>
    </w:p>
    <w:p w:rsidR="00C220C6" w:rsidRDefault="00C220C6" w:rsidP="00C220C6">
      <w:pPr>
        <w:pStyle w:val="Default"/>
        <w:rPr>
          <w:sz w:val="20"/>
          <w:szCs w:val="20"/>
        </w:rPr>
      </w:pPr>
    </w:p>
    <w:p w:rsidR="00C220C6" w:rsidRDefault="00C220C6" w:rsidP="00C220C6">
      <w:pPr>
        <w:pStyle w:val="Default"/>
        <w:rPr>
          <w:sz w:val="20"/>
          <w:szCs w:val="20"/>
        </w:rPr>
      </w:pPr>
      <w:r w:rsidRPr="005102BC">
        <w:rPr>
          <w:b/>
          <w:sz w:val="20"/>
          <w:szCs w:val="20"/>
        </w:rPr>
        <w:t>Barriers to Deprescribing</w:t>
      </w:r>
      <w:r>
        <w:rPr>
          <w:sz w:val="20"/>
          <w:szCs w:val="20"/>
        </w:rPr>
        <w:t xml:space="preserve">    A patient’s psychological attachment to a chronic medication can be a major barrier to deprescribing, especially when a patient may associate the preventative medication as necessary for their long-term health (8).  Indeed, communication challenges may ensue if a clinician presents an isolated recommendation to </w:t>
      </w:r>
      <w:r w:rsidRPr="00345949">
        <w:rPr>
          <w:sz w:val="20"/>
          <w:szCs w:val="20"/>
        </w:rPr>
        <w:t>discontinu</w:t>
      </w:r>
      <w:r>
        <w:rPr>
          <w:sz w:val="20"/>
          <w:szCs w:val="20"/>
        </w:rPr>
        <w:t>e</w:t>
      </w:r>
      <w:r w:rsidRPr="00345949">
        <w:rPr>
          <w:sz w:val="20"/>
          <w:szCs w:val="20"/>
        </w:rPr>
        <w:t xml:space="preserve"> </w:t>
      </w:r>
      <w:r>
        <w:rPr>
          <w:sz w:val="20"/>
          <w:szCs w:val="20"/>
        </w:rPr>
        <w:t xml:space="preserve">a </w:t>
      </w:r>
      <w:r w:rsidRPr="00345949">
        <w:rPr>
          <w:sz w:val="20"/>
          <w:szCs w:val="20"/>
        </w:rPr>
        <w:t>chronic medication</w:t>
      </w:r>
      <w:r>
        <w:rPr>
          <w:sz w:val="20"/>
          <w:szCs w:val="20"/>
        </w:rPr>
        <w:t xml:space="preserve"> in the absence of the larger context about their overall health.  In such cases, patients or their families may not be aware that an anticipated short prognosis is an impetus for deprescribing.  Therefore, the most e</w:t>
      </w:r>
      <w:r w:rsidRPr="00345949">
        <w:rPr>
          <w:sz w:val="20"/>
          <w:szCs w:val="20"/>
        </w:rPr>
        <w:t xml:space="preserve">ffective discussions </w:t>
      </w:r>
      <w:r>
        <w:rPr>
          <w:sz w:val="20"/>
          <w:szCs w:val="20"/>
        </w:rPr>
        <w:t xml:space="preserve">about deprescribing should be part of a larger conversation clarifying estimated prognosis and </w:t>
      </w:r>
      <w:r w:rsidRPr="00345949">
        <w:rPr>
          <w:sz w:val="20"/>
          <w:szCs w:val="20"/>
        </w:rPr>
        <w:t>goals of care</w:t>
      </w:r>
      <w:r>
        <w:rPr>
          <w:sz w:val="20"/>
          <w:szCs w:val="20"/>
        </w:rPr>
        <w:t>.  See</w:t>
      </w:r>
      <w:r w:rsidRPr="00345949">
        <w:rPr>
          <w:sz w:val="20"/>
          <w:szCs w:val="20"/>
        </w:rPr>
        <w:t xml:space="preserve"> </w:t>
      </w:r>
      <w:r w:rsidRPr="00147553">
        <w:rPr>
          <w:i/>
          <w:sz w:val="20"/>
          <w:szCs w:val="20"/>
        </w:rPr>
        <w:t>Fast Facts</w:t>
      </w:r>
      <w:r w:rsidRPr="00345949">
        <w:rPr>
          <w:sz w:val="20"/>
          <w:szCs w:val="20"/>
        </w:rPr>
        <w:t xml:space="preserve"> #183, 184, 223, 224, and 227 on how to </w:t>
      </w:r>
      <w:r>
        <w:rPr>
          <w:sz w:val="20"/>
          <w:szCs w:val="20"/>
        </w:rPr>
        <w:t>utilize prognosis</w:t>
      </w:r>
      <w:r w:rsidRPr="00345949">
        <w:rPr>
          <w:sz w:val="20"/>
          <w:szCs w:val="20"/>
        </w:rPr>
        <w:t xml:space="preserve"> in shared decision-making.</w:t>
      </w:r>
      <w:r>
        <w:rPr>
          <w:sz w:val="20"/>
          <w:szCs w:val="20"/>
        </w:rPr>
        <w:t xml:space="preserve">  Other potential barriers to deprescribing include:</w:t>
      </w:r>
    </w:p>
    <w:p w:rsidR="00C220C6" w:rsidRDefault="00C220C6" w:rsidP="00C220C6">
      <w:pPr>
        <w:pStyle w:val="Default"/>
        <w:numPr>
          <w:ilvl w:val="0"/>
          <w:numId w:val="2"/>
        </w:numPr>
        <w:rPr>
          <w:sz w:val="20"/>
          <w:szCs w:val="20"/>
        </w:rPr>
      </w:pPr>
      <w:r>
        <w:rPr>
          <w:sz w:val="20"/>
          <w:szCs w:val="20"/>
        </w:rPr>
        <w:t>Identification of the appropriate patient population;</w:t>
      </w:r>
    </w:p>
    <w:p w:rsidR="00C220C6" w:rsidRDefault="00C220C6" w:rsidP="00C220C6">
      <w:pPr>
        <w:pStyle w:val="Default"/>
        <w:numPr>
          <w:ilvl w:val="0"/>
          <w:numId w:val="2"/>
        </w:numPr>
        <w:rPr>
          <w:sz w:val="20"/>
          <w:szCs w:val="20"/>
        </w:rPr>
      </w:pPr>
      <w:r>
        <w:rPr>
          <w:sz w:val="20"/>
          <w:szCs w:val="20"/>
        </w:rPr>
        <w:t>Clinician litigation fears regarding a bad clinical outcome status post deprescribing;</w:t>
      </w:r>
    </w:p>
    <w:p w:rsidR="00C220C6" w:rsidRDefault="00C220C6" w:rsidP="00C220C6">
      <w:pPr>
        <w:pStyle w:val="Default"/>
        <w:numPr>
          <w:ilvl w:val="0"/>
          <w:numId w:val="2"/>
        </w:numPr>
        <w:rPr>
          <w:sz w:val="20"/>
          <w:szCs w:val="20"/>
        </w:rPr>
      </w:pPr>
      <w:r>
        <w:rPr>
          <w:sz w:val="20"/>
          <w:szCs w:val="20"/>
        </w:rPr>
        <w:t xml:space="preserve">Identifying which clinician (e.g. physician, pharmacist) will take </w:t>
      </w:r>
      <w:r w:rsidRPr="00525C67">
        <w:rPr>
          <w:sz w:val="20"/>
          <w:szCs w:val="20"/>
        </w:rPr>
        <w:t>ownership</w:t>
      </w:r>
      <w:r>
        <w:rPr>
          <w:sz w:val="20"/>
          <w:szCs w:val="20"/>
        </w:rPr>
        <w:t xml:space="preserve"> for the deprescribing;</w:t>
      </w:r>
    </w:p>
    <w:p w:rsidR="00C220C6" w:rsidRPr="00EB6DDB" w:rsidRDefault="00C220C6" w:rsidP="00C220C6">
      <w:pPr>
        <w:pStyle w:val="Default"/>
        <w:numPr>
          <w:ilvl w:val="0"/>
          <w:numId w:val="2"/>
        </w:numPr>
        <w:rPr>
          <w:sz w:val="20"/>
          <w:szCs w:val="20"/>
        </w:rPr>
      </w:pPr>
      <w:r>
        <w:rPr>
          <w:sz w:val="20"/>
          <w:szCs w:val="20"/>
        </w:rPr>
        <w:t>Risk of adverse withdrawal events (9-12).</w:t>
      </w:r>
    </w:p>
    <w:p w:rsidR="00C220C6" w:rsidRDefault="00C220C6" w:rsidP="00C220C6">
      <w:pPr>
        <w:pStyle w:val="Default"/>
        <w:rPr>
          <w:sz w:val="20"/>
          <w:szCs w:val="20"/>
        </w:rPr>
      </w:pPr>
    </w:p>
    <w:p w:rsidR="00C220C6" w:rsidRDefault="00C220C6" w:rsidP="00C220C6">
      <w:pPr>
        <w:pStyle w:val="Default"/>
        <w:rPr>
          <w:sz w:val="20"/>
          <w:szCs w:val="20"/>
        </w:rPr>
      </w:pPr>
      <w:r w:rsidRPr="0042666F">
        <w:rPr>
          <w:b/>
          <w:sz w:val="20"/>
          <w:szCs w:val="20"/>
        </w:rPr>
        <w:t>Deprescribing Framework</w:t>
      </w:r>
      <w:r>
        <w:rPr>
          <w:sz w:val="20"/>
          <w:szCs w:val="20"/>
        </w:rPr>
        <w:t xml:space="preserve">     </w:t>
      </w:r>
      <w:proofErr w:type="gramStart"/>
      <w:r>
        <w:rPr>
          <w:sz w:val="20"/>
          <w:szCs w:val="20"/>
        </w:rPr>
        <w:t>The</w:t>
      </w:r>
      <w:proofErr w:type="gramEnd"/>
      <w:r>
        <w:rPr>
          <w:sz w:val="20"/>
          <w:szCs w:val="20"/>
        </w:rPr>
        <w:t xml:space="preserve"> Holmes’ model can act as a useful framework for deprescribing in patients with a reduced life expectancy (13). In this model, there are four factors to consider. The two patient-specific factors are goals of care and prognosis. The two medication specific factors include treatment target and time-until-benefit. Treatment target refers to the medication’s prevention strategy goal (11). For example, is the medicine being utilized to reduce the chances of the illness occurring before it happens – </w:t>
      </w:r>
      <w:r w:rsidRPr="0048291C">
        <w:rPr>
          <w:i/>
          <w:sz w:val="20"/>
          <w:szCs w:val="20"/>
        </w:rPr>
        <w:t>primary prevention</w:t>
      </w:r>
      <w:r>
        <w:rPr>
          <w:i/>
          <w:sz w:val="20"/>
          <w:szCs w:val="20"/>
        </w:rPr>
        <w:t xml:space="preserve">? </w:t>
      </w:r>
      <w:r w:rsidRPr="001E716B">
        <w:rPr>
          <w:sz w:val="20"/>
          <w:szCs w:val="20"/>
        </w:rPr>
        <w:t xml:space="preserve">Or </w:t>
      </w:r>
      <w:r>
        <w:rPr>
          <w:sz w:val="20"/>
          <w:szCs w:val="20"/>
        </w:rPr>
        <w:t xml:space="preserve">is the medication being utilized to slow down the progression of illness – </w:t>
      </w:r>
      <w:r w:rsidRPr="0048291C">
        <w:rPr>
          <w:i/>
          <w:sz w:val="20"/>
          <w:szCs w:val="20"/>
        </w:rPr>
        <w:t>secondary prevention</w:t>
      </w:r>
      <w:r>
        <w:rPr>
          <w:sz w:val="20"/>
          <w:szCs w:val="20"/>
        </w:rPr>
        <w:t xml:space="preserve">. In general, primary prevention medications are good candidates for deprescribing in patients whom clinicians would not be surprised if death occurred in less than a year.  Time-until-benefit for a medication refers to the amount of time a medication requires to gain a beneficial </w:t>
      </w:r>
      <w:r>
        <w:rPr>
          <w:sz w:val="20"/>
          <w:szCs w:val="20"/>
        </w:rPr>
        <w:lastRenderedPageBreak/>
        <w:t>result and often is indirectly referred to as the number needed to treat (NNT) (14).  In most cases, as prognosis decreases, the NNT increases (11).</w:t>
      </w:r>
    </w:p>
    <w:p w:rsidR="00C220C6" w:rsidRDefault="00C220C6" w:rsidP="00C220C6">
      <w:pPr>
        <w:pStyle w:val="Default"/>
        <w:rPr>
          <w:sz w:val="20"/>
          <w:szCs w:val="20"/>
        </w:rPr>
      </w:pPr>
    </w:p>
    <w:p w:rsidR="00C220C6" w:rsidRDefault="00C220C6" w:rsidP="00C220C6">
      <w:pPr>
        <w:pStyle w:val="Default"/>
        <w:rPr>
          <w:sz w:val="20"/>
          <w:szCs w:val="20"/>
        </w:rPr>
      </w:pPr>
      <w:r w:rsidRPr="007203A2">
        <w:rPr>
          <w:b/>
          <w:sz w:val="20"/>
          <w:szCs w:val="20"/>
        </w:rPr>
        <w:t>Deprescribing Process</w:t>
      </w:r>
      <w:r>
        <w:rPr>
          <w:b/>
          <w:sz w:val="20"/>
          <w:szCs w:val="20"/>
        </w:rPr>
        <w:t xml:space="preserve"> (4)</w:t>
      </w:r>
      <w:r>
        <w:rPr>
          <w:sz w:val="20"/>
          <w:szCs w:val="20"/>
        </w:rPr>
        <w:t xml:space="preserve">    </w:t>
      </w:r>
    </w:p>
    <w:p w:rsidR="00C220C6" w:rsidRDefault="00C220C6" w:rsidP="00C220C6">
      <w:pPr>
        <w:pStyle w:val="Default"/>
        <w:numPr>
          <w:ilvl w:val="0"/>
          <w:numId w:val="3"/>
        </w:numPr>
        <w:rPr>
          <w:sz w:val="20"/>
          <w:szCs w:val="20"/>
        </w:rPr>
      </w:pPr>
      <w:r>
        <w:rPr>
          <w:sz w:val="20"/>
          <w:szCs w:val="20"/>
        </w:rPr>
        <w:t xml:space="preserve">Utilize a pharmacist if available to perform a complete medication reconciliation with focus on the respective indications. </w:t>
      </w:r>
    </w:p>
    <w:p w:rsidR="00C220C6" w:rsidRPr="00964759" w:rsidRDefault="00C220C6" w:rsidP="00C220C6">
      <w:pPr>
        <w:pStyle w:val="Default"/>
        <w:numPr>
          <w:ilvl w:val="0"/>
          <w:numId w:val="3"/>
        </w:numPr>
        <w:rPr>
          <w:sz w:val="20"/>
          <w:szCs w:val="20"/>
        </w:rPr>
      </w:pPr>
      <w:r>
        <w:rPr>
          <w:sz w:val="20"/>
          <w:szCs w:val="20"/>
        </w:rPr>
        <w:t>Consider the patient’s goals, prognosis, and risk of drug-induced harm. Additional risk factors for drug induced harm include the patient’s</w:t>
      </w:r>
      <w:r w:rsidRPr="00964759">
        <w:rPr>
          <w:sz w:val="20"/>
          <w:szCs w:val="20"/>
        </w:rPr>
        <w:t xml:space="preserve"> </w:t>
      </w:r>
      <w:r>
        <w:rPr>
          <w:sz w:val="20"/>
          <w:szCs w:val="20"/>
        </w:rPr>
        <w:t>age and</w:t>
      </w:r>
      <w:r w:rsidRPr="00964759">
        <w:rPr>
          <w:sz w:val="20"/>
          <w:szCs w:val="20"/>
        </w:rPr>
        <w:t xml:space="preserve"> </w:t>
      </w:r>
      <w:r>
        <w:rPr>
          <w:sz w:val="20"/>
          <w:szCs w:val="20"/>
        </w:rPr>
        <w:t>total number of medications</w:t>
      </w:r>
      <w:r w:rsidRPr="00964759">
        <w:rPr>
          <w:sz w:val="20"/>
          <w:szCs w:val="20"/>
        </w:rPr>
        <w:t>.</w:t>
      </w:r>
    </w:p>
    <w:p w:rsidR="00C220C6" w:rsidRPr="00964759" w:rsidRDefault="00C220C6" w:rsidP="00C220C6">
      <w:pPr>
        <w:pStyle w:val="Default"/>
        <w:numPr>
          <w:ilvl w:val="0"/>
          <w:numId w:val="3"/>
        </w:numPr>
        <w:rPr>
          <w:sz w:val="20"/>
          <w:szCs w:val="20"/>
        </w:rPr>
      </w:pPr>
      <w:r>
        <w:rPr>
          <w:sz w:val="20"/>
          <w:szCs w:val="20"/>
        </w:rPr>
        <w:t xml:space="preserve">Assess each medication’s risk/benefit ratio, with attention to treatment target and time-until-benefit. </w:t>
      </w:r>
    </w:p>
    <w:p w:rsidR="00C220C6" w:rsidRDefault="00C220C6" w:rsidP="00C220C6">
      <w:pPr>
        <w:pStyle w:val="Default"/>
        <w:numPr>
          <w:ilvl w:val="0"/>
          <w:numId w:val="3"/>
        </w:numPr>
        <w:rPr>
          <w:sz w:val="20"/>
          <w:szCs w:val="20"/>
        </w:rPr>
      </w:pPr>
      <w:r>
        <w:rPr>
          <w:sz w:val="20"/>
          <w:szCs w:val="20"/>
        </w:rPr>
        <w:t>Discontinue medication(s) based on priority.</w:t>
      </w:r>
    </w:p>
    <w:p w:rsidR="00C220C6" w:rsidRPr="00470EB2" w:rsidRDefault="00C220C6" w:rsidP="00C220C6">
      <w:pPr>
        <w:pStyle w:val="Default"/>
        <w:numPr>
          <w:ilvl w:val="0"/>
          <w:numId w:val="3"/>
        </w:numPr>
        <w:rPr>
          <w:sz w:val="20"/>
          <w:szCs w:val="20"/>
        </w:rPr>
      </w:pPr>
      <w:r>
        <w:rPr>
          <w:sz w:val="20"/>
          <w:szCs w:val="20"/>
        </w:rPr>
        <w:t xml:space="preserve">Monitor for potential adverse drug withdrawal events.   </w:t>
      </w:r>
      <w:r w:rsidRPr="00470EB2">
        <w:rPr>
          <w:sz w:val="20"/>
          <w:szCs w:val="20"/>
        </w:rPr>
        <w:t xml:space="preserve"> </w:t>
      </w:r>
    </w:p>
    <w:p w:rsidR="00C220C6" w:rsidRDefault="00C220C6" w:rsidP="00C220C6">
      <w:pPr>
        <w:rPr>
          <w:rFonts w:ascii="Arial" w:hAnsi="Arial" w:cs="Arial"/>
          <w:b/>
          <w:sz w:val="20"/>
          <w:szCs w:val="20"/>
        </w:rPr>
      </w:pPr>
    </w:p>
    <w:p w:rsidR="00C220C6" w:rsidRPr="00DC0E50" w:rsidRDefault="00C220C6" w:rsidP="00C220C6">
      <w:pPr>
        <w:rPr>
          <w:rFonts w:ascii="Arial" w:hAnsi="Arial" w:cs="Arial"/>
          <w:b/>
          <w:sz w:val="20"/>
          <w:szCs w:val="20"/>
        </w:rPr>
      </w:pPr>
      <w:r w:rsidRPr="00DC0E50">
        <w:rPr>
          <w:rFonts w:ascii="Arial" w:hAnsi="Arial" w:cs="Arial"/>
          <w:b/>
          <w:sz w:val="20"/>
          <w:szCs w:val="20"/>
        </w:rPr>
        <w:t xml:space="preserve">References: </w:t>
      </w:r>
    </w:p>
    <w:p w:rsidR="00C220C6" w:rsidRPr="0031359C" w:rsidRDefault="00C220C6" w:rsidP="00C220C6">
      <w:pPr>
        <w:pStyle w:val="ListParagraph"/>
        <w:numPr>
          <w:ilvl w:val="0"/>
          <w:numId w:val="1"/>
        </w:numPr>
        <w:shd w:val="clear" w:color="auto" w:fill="FFFFFF"/>
        <w:spacing w:after="0" w:line="240" w:lineRule="auto"/>
        <w:rPr>
          <w:rFonts w:ascii="Arial" w:hAnsi="Arial" w:cs="Arial"/>
          <w:sz w:val="20"/>
          <w:szCs w:val="20"/>
        </w:rPr>
      </w:pPr>
      <w:r w:rsidRPr="0031359C">
        <w:rPr>
          <w:rFonts w:ascii="Arial" w:hAnsi="Arial" w:cs="Arial"/>
          <w:sz w:val="20"/>
          <w:szCs w:val="20"/>
        </w:rPr>
        <w:t xml:space="preserve">Maddison AR, Fisher J, Johnston G. Preventive medication use among persons with limited life expectancy. </w:t>
      </w:r>
      <w:r w:rsidRPr="0031359C">
        <w:rPr>
          <w:rStyle w:val="highlight2"/>
          <w:rFonts w:ascii="Arial" w:hAnsi="Arial" w:cs="Arial"/>
          <w:sz w:val="20"/>
          <w:szCs w:val="20"/>
        </w:rPr>
        <w:t>Prog Palliat Care</w:t>
      </w:r>
      <w:r w:rsidRPr="0031359C">
        <w:rPr>
          <w:rFonts w:ascii="Arial" w:hAnsi="Arial" w:cs="Arial"/>
          <w:sz w:val="20"/>
          <w:szCs w:val="20"/>
        </w:rPr>
        <w:t xml:space="preserve">. </w:t>
      </w:r>
      <w:r w:rsidRPr="0031359C">
        <w:rPr>
          <w:rStyle w:val="highlight2"/>
          <w:rFonts w:ascii="Arial" w:hAnsi="Arial" w:cs="Arial"/>
          <w:sz w:val="20"/>
          <w:szCs w:val="20"/>
        </w:rPr>
        <w:t>2011</w:t>
      </w:r>
      <w:r w:rsidRPr="0031359C">
        <w:rPr>
          <w:rFonts w:ascii="Arial" w:hAnsi="Arial" w:cs="Arial"/>
          <w:sz w:val="20"/>
          <w:szCs w:val="20"/>
        </w:rPr>
        <w:t xml:space="preserve"> Jan;</w:t>
      </w:r>
      <w:r w:rsidRPr="0031359C">
        <w:rPr>
          <w:rStyle w:val="highlight2"/>
          <w:rFonts w:ascii="Arial" w:hAnsi="Arial" w:cs="Arial"/>
          <w:sz w:val="20"/>
          <w:szCs w:val="20"/>
        </w:rPr>
        <w:t>19</w:t>
      </w:r>
      <w:r w:rsidRPr="0031359C">
        <w:rPr>
          <w:rFonts w:ascii="Arial" w:hAnsi="Arial" w:cs="Arial"/>
          <w:sz w:val="20"/>
          <w:szCs w:val="20"/>
        </w:rPr>
        <w:t>(</w:t>
      </w:r>
      <w:r w:rsidRPr="0031359C">
        <w:rPr>
          <w:rStyle w:val="highlight2"/>
          <w:rFonts w:ascii="Arial" w:hAnsi="Arial" w:cs="Arial"/>
          <w:sz w:val="20"/>
          <w:szCs w:val="20"/>
        </w:rPr>
        <w:t>1</w:t>
      </w:r>
      <w:r w:rsidRPr="0031359C">
        <w:rPr>
          <w:rFonts w:ascii="Arial" w:hAnsi="Arial" w:cs="Arial"/>
          <w:sz w:val="20"/>
          <w:szCs w:val="20"/>
        </w:rPr>
        <w:t>):</w:t>
      </w:r>
      <w:r w:rsidRPr="0031359C">
        <w:rPr>
          <w:rStyle w:val="highlight2"/>
          <w:rFonts w:ascii="Arial" w:hAnsi="Arial" w:cs="Arial"/>
          <w:sz w:val="20"/>
          <w:szCs w:val="20"/>
        </w:rPr>
        <w:t>15-21</w:t>
      </w:r>
      <w:r w:rsidRPr="0031359C">
        <w:rPr>
          <w:rFonts w:ascii="Arial" w:hAnsi="Arial" w:cs="Arial"/>
          <w:sz w:val="20"/>
          <w:szCs w:val="20"/>
        </w:rPr>
        <w:t>.</w:t>
      </w:r>
    </w:p>
    <w:p w:rsidR="00C220C6" w:rsidRPr="0031359C" w:rsidRDefault="00657879" w:rsidP="00C220C6">
      <w:pPr>
        <w:pStyle w:val="ListParagraph"/>
        <w:numPr>
          <w:ilvl w:val="0"/>
          <w:numId w:val="1"/>
        </w:numPr>
        <w:shd w:val="clear" w:color="auto" w:fill="FFFFFF"/>
        <w:spacing w:after="0" w:line="240" w:lineRule="auto"/>
        <w:rPr>
          <w:rFonts w:ascii="Arial" w:hAnsi="Arial" w:cs="Arial"/>
          <w:sz w:val="20"/>
          <w:szCs w:val="20"/>
        </w:rPr>
      </w:pPr>
      <w:hyperlink r:id="rId9" w:history="1">
        <w:r w:rsidR="00C220C6" w:rsidRPr="0031359C">
          <w:rPr>
            <w:rFonts w:ascii="Arial" w:hAnsi="Arial" w:cs="Arial"/>
            <w:sz w:val="20"/>
            <w:szCs w:val="20"/>
          </w:rPr>
          <w:t>Fede A</w:t>
        </w:r>
      </w:hyperlink>
      <w:r w:rsidR="00C220C6" w:rsidRPr="0031359C">
        <w:rPr>
          <w:rFonts w:ascii="Arial" w:hAnsi="Arial" w:cs="Arial"/>
          <w:sz w:val="20"/>
          <w:szCs w:val="20"/>
          <w:vertAlign w:val="superscript"/>
        </w:rPr>
        <w:t>1</w:t>
      </w:r>
      <w:r w:rsidR="00C220C6" w:rsidRPr="0031359C">
        <w:rPr>
          <w:rFonts w:ascii="Arial" w:hAnsi="Arial" w:cs="Arial"/>
          <w:sz w:val="20"/>
          <w:szCs w:val="20"/>
        </w:rPr>
        <w:t xml:space="preserve">, </w:t>
      </w:r>
      <w:hyperlink r:id="rId10" w:history="1">
        <w:r w:rsidR="00C220C6" w:rsidRPr="0031359C">
          <w:rPr>
            <w:rFonts w:ascii="Arial" w:hAnsi="Arial" w:cs="Arial"/>
            <w:sz w:val="20"/>
            <w:szCs w:val="20"/>
          </w:rPr>
          <w:t>Miranda M</w:t>
        </w:r>
      </w:hyperlink>
      <w:r w:rsidR="00C220C6" w:rsidRPr="0031359C">
        <w:rPr>
          <w:rFonts w:ascii="Arial" w:hAnsi="Arial" w:cs="Arial"/>
          <w:sz w:val="20"/>
          <w:szCs w:val="20"/>
        </w:rPr>
        <w:t xml:space="preserve">, </w:t>
      </w:r>
      <w:hyperlink r:id="rId11" w:history="1">
        <w:r w:rsidR="00C220C6" w:rsidRPr="0031359C">
          <w:rPr>
            <w:rFonts w:ascii="Arial" w:hAnsi="Arial" w:cs="Arial"/>
            <w:sz w:val="20"/>
            <w:szCs w:val="20"/>
          </w:rPr>
          <w:t>Antonangelo D</w:t>
        </w:r>
      </w:hyperlink>
      <w:r w:rsidR="00C220C6" w:rsidRPr="0031359C">
        <w:rPr>
          <w:rFonts w:ascii="Arial" w:hAnsi="Arial" w:cs="Arial"/>
          <w:sz w:val="20"/>
          <w:szCs w:val="20"/>
        </w:rPr>
        <w:t xml:space="preserve">, </w:t>
      </w:r>
      <w:hyperlink r:id="rId12" w:history="1">
        <w:r w:rsidR="00C220C6" w:rsidRPr="0031359C">
          <w:rPr>
            <w:rFonts w:ascii="Arial" w:hAnsi="Arial" w:cs="Arial"/>
            <w:sz w:val="20"/>
            <w:szCs w:val="20"/>
          </w:rPr>
          <w:t>Trevizan L</w:t>
        </w:r>
      </w:hyperlink>
      <w:r w:rsidR="00C220C6" w:rsidRPr="0031359C">
        <w:rPr>
          <w:rFonts w:ascii="Arial" w:hAnsi="Arial" w:cs="Arial"/>
          <w:sz w:val="20"/>
          <w:szCs w:val="20"/>
        </w:rPr>
        <w:t xml:space="preserve">, </w:t>
      </w:r>
      <w:hyperlink r:id="rId13" w:history="1">
        <w:r w:rsidR="00C220C6" w:rsidRPr="0031359C">
          <w:rPr>
            <w:rFonts w:ascii="Arial" w:hAnsi="Arial" w:cs="Arial"/>
            <w:sz w:val="20"/>
            <w:szCs w:val="20"/>
          </w:rPr>
          <w:t>Schaffhausser H</w:t>
        </w:r>
      </w:hyperlink>
      <w:r w:rsidR="00C220C6" w:rsidRPr="0031359C">
        <w:rPr>
          <w:rFonts w:ascii="Arial" w:hAnsi="Arial" w:cs="Arial"/>
          <w:sz w:val="20"/>
          <w:szCs w:val="20"/>
        </w:rPr>
        <w:t xml:space="preserve">, </w:t>
      </w:r>
      <w:hyperlink r:id="rId14" w:history="1">
        <w:r w:rsidR="00C220C6" w:rsidRPr="0031359C">
          <w:rPr>
            <w:rFonts w:ascii="Arial" w:hAnsi="Arial" w:cs="Arial"/>
            <w:sz w:val="20"/>
            <w:szCs w:val="20"/>
          </w:rPr>
          <w:t>Hamermesz B</w:t>
        </w:r>
      </w:hyperlink>
      <w:r w:rsidR="00C220C6" w:rsidRPr="0031359C">
        <w:rPr>
          <w:rFonts w:ascii="Arial" w:hAnsi="Arial" w:cs="Arial"/>
          <w:sz w:val="20"/>
          <w:szCs w:val="20"/>
        </w:rPr>
        <w:t xml:space="preserve">, </w:t>
      </w:r>
      <w:hyperlink r:id="rId15" w:history="1">
        <w:r w:rsidR="00C220C6" w:rsidRPr="0031359C">
          <w:rPr>
            <w:rFonts w:ascii="Arial" w:hAnsi="Arial" w:cs="Arial"/>
            <w:sz w:val="20"/>
            <w:szCs w:val="20"/>
          </w:rPr>
          <w:t>Zimmermann C</w:t>
        </w:r>
      </w:hyperlink>
      <w:r w:rsidR="00C220C6" w:rsidRPr="0031359C">
        <w:rPr>
          <w:rFonts w:ascii="Arial" w:hAnsi="Arial" w:cs="Arial"/>
          <w:sz w:val="20"/>
          <w:szCs w:val="20"/>
        </w:rPr>
        <w:t xml:space="preserve">, </w:t>
      </w:r>
      <w:hyperlink r:id="rId16" w:history="1">
        <w:r w:rsidR="00C220C6" w:rsidRPr="0031359C">
          <w:rPr>
            <w:rFonts w:ascii="Arial" w:hAnsi="Arial" w:cs="Arial"/>
            <w:sz w:val="20"/>
            <w:szCs w:val="20"/>
          </w:rPr>
          <w:t>Del Giglio A</w:t>
        </w:r>
      </w:hyperlink>
      <w:r w:rsidR="00C220C6" w:rsidRPr="0031359C">
        <w:rPr>
          <w:rFonts w:ascii="Arial" w:hAnsi="Arial" w:cs="Arial"/>
          <w:sz w:val="20"/>
          <w:szCs w:val="20"/>
        </w:rPr>
        <w:t xml:space="preserve">, </w:t>
      </w:r>
      <w:hyperlink r:id="rId17" w:history="1">
        <w:r w:rsidR="00C220C6" w:rsidRPr="0031359C">
          <w:rPr>
            <w:rFonts w:ascii="Arial" w:hAnsi="Arial" w:cs="Arial"/>
            <w:sz w:val="20"/>
            <w:szCs w:val="20"/>
          </w:rPr>
          <w:t>Riechelmann RP</w:t>
        </w:r>
      </w:hyperlink>
      <w:r w:rsidR="00C220C6" w:rsidRPr="0031359C">
        <w:rPr>
          <w:rFonts w:ascii="Arial" w:hAnsi="Arial" w:cs="Arial"/>
          <w:sz w:val="20"/>
          <w:szCs w:val="20"/>
        </w:rPr>
        <w:t xml:space="preserve">. Use of unnecessary medications by patients with advanced cancer: cross-sectional survey. </w:t>
      </w:r>
      <w:hyperlink r:id="rId18" w:tooltip="Supportive care in cancer : official journal of the Multinational Association of Supportive Care in Cancer." w:history="1">
        <w:r w:rsidR="00C220C6" w:rsidRPr="0031359C">
          <w:rPr>
            <w:rStyle w:val="highlight2"/>
            <w:rFonts w:ascii="Arial" w:hAnsi="Arial" w:cs="Arial"/>
            <w:sz w:val="20"/>
            <w:szCs w:val="20"/>
          </w:rPr>
          <w:t>Support Care Cancer</w:t>
        </w:r>
        <w:r w:rsidR="00C220C6" w:rsidRPr="0031359C">
          <w:rPr>
            <w:rFonts w:ascii="Arial" w:hAnsi="Arial" w:cs="Arial"/>
            <w:sz w:val="20"/>
            <w:szCs w:val="20"/>
          </w:rPr>
          <w:t>.</w:t>
        </w:r>
      </w:hyperlink>
      <w:r w:rsidR="00C220C6" w:rsidRPr="0031359C">
        <w:rPr>
          <w:rFonts w:ascii="Arial" w:hAnsi="Arial" w:cs="Arial"/>
          <w:sz w:val="20"/>
          <w:szCs w:val="20"/>
        </w:rPr>
        <w:t xml:space="preserve"> </w:t>
      </w:r>
      <w:r w:rsidR="00C220C6" w:rsidRPr="0031359C">
        <w:rPr>
          <w:rStyle w:val="highlight2"/>
          <w:rFonts w:ascii="Arial" w:hAnsi="Arial" w:cs="Arial"/>
          <w:sz w:val="20"/>
          <w:szCs w:val="20"/>
        </w:rPr>
        <w:t>2011</w:t>
      </w:r>
      <w:r w:rsidR="00C220C6" w:rsidRPr="0031359C">
        <w:rPr>
          <w:rFonts w:ascii="Arial" w:hAnsi="Arial" w:cs="Arial"/>
          <w:sz w:val="20"/>
          <w:szCs w:val="20"/>
        </w:rPr>
        <w:t xml:space="preserve"> Sep;</w:t>
      </w:r>
      <w:r w:rsidR="00C220C6" w:rsidRPr="0031359C">
        <w:rPr>
          <w:rStyle w:val="highlight2"/>
          <w:rFonts w:ascii="Arial" w:hAnsi="Arial" w:cs="Arial"/>
          <w:sz w:val="20"/>
          <w:szCs w:val="20"/>
        </w:rPr>
        <w:t>19</w:t>
      </w:r>
      <w:r w:rsidR="00C220C6" w:rsidRPr="0031359C">
        <w:rPr>
          <w:rFonts w:ascii="Arial" w:hAnsi="Arial" w:cs="Arial"/>
          <w:sz w:val="20"/>
          <w:szCs w:val="20"/>
        </w:rPr>
        <w:t>(</w:t>
      </w:r>
      <w:r w:rsidR="00C220C6" w:rsidRPr="0031359C">
        <w:rPr>
          <w:rStyle w:val="highlight2"/>
          <w:rFonts w:ascii="Arial" w:hAnsi="Arial" w:cs="Arial"/>
          <w:sz w:val="20"/>
          <w:szCs w:val="20"/>
        </w:rPr>
        <w:t>9</w:t>
      </w:r>
      <w:r w:rsidR="00C220C6" w:rsidRPr="0031359C">
        <w:rPr>
          <w:rFonts w:ascii="Arial" w:hAnsi="Arial" w:cs="Arial"/>
          <w:sz w:val="20"/>
          <w:szCs w:val="20"/>
        </w:rPr>
        <w:t>):</w:t>
      </w:r>
      <w:r w:rsidR="00C220C6" w:rsidRPr="0031359C">
        <w:rPr>
          <w:rStyle w:val="highlight2"/>
          <w:rFonts w:ascii="Arial" w:hAnsi="Arial" w:cs="Arial"/>
          <w:sz w:val="20"/>
          <w:szCs w:val="20"/>
        </w:rPr>
        <w:t>1313-8</w:t>
      </w:r>
      <w:r w:rsidR="00C220C6" w:rsidRPr="0031359C">
        <w:rPr>
          <w:rFonts w:ascii="Arial" w:hAnsi="Arial" w:cs="Arial"/>
          <w:sz w:val="20"/>
          <w:szCs w:val="20"/>
        </w:rPr>
        <w:t>.</w:t>
      </w:r>
    </w:p>
    <w:p w:rsidR="00C220C6" w:rsidRPr="0031359C" w:rsidRDefault="00C220C6" w:rsidP="00C220C6">
      <w:pPr>
        <w:pStyle w:val="ListParagraph"/>
        <w:numPr>
          <w:ilvl w:val="0"/>
          <w:numId w:val="1"/>
        </w:numPr>
        <w:shd w:val="clear" w:color="auto" w:fill="FFFFFF"/>
        <w:spacing w:after="0" w:line="240" w:lineRule="auto"/>
        <w:rPr>
          <w:rFonts w:ascii="Arial" w:hAnsi="Arial" w:cs="Arial"/>
          <w:sz w:val="20"/>
          <w:szCs w:val="20"/>
        </w:rPr>
      </w:pPr>
      <w:r w:rsidRPr="0031359C">
        <w:rPr>
          <w:rFonts w:ascii="Arial" w:hAnsi="Arial" w:cs="Arial"/>
          <w:sz w:val="20"/>
          <w:szCs w:val="20"/>
        </w:rPr>
        <w:t xml:space="preserve">McLean S, Sheehy-Skeffington B, O'Leary N, O'Gorman A. Pharmacological management of co-morbid conditions at the </w:t>
      </w:r>
      <w:r w:rsidRPr="0031359C">
        <w:rPr>
          <w:rStyle w:val="highlight2"/>
          <w:rFonts w:ascii="Arial" w:hAnsi="Arial" w:cs="Arial"/>
          <w:sz w:val="20"/>
          <w:szCs w:val="20"/>
        </w:rPr>
        <w:t>end</w:t>
      </w:r>
      <w:r w:rsidRPr="0031359C">
        <w:rPr>
          <w:rFonts w:ascii="Arial" w:hAnsi="Arial" w:cs="Arial"/>
          <w:sz w:val="20"/>
          <w:szCs w:val="20"/>
        </w:rPr>
        <w:t xml:space="preserve"> of </w:t>
      </w:r>
      <w:r w:rsidRPr="0031359C">
        <w:rPr>
          <w:rStyle w:val="highlight2"/>
          <w:rFonts w:ascii="Arial" w:hAnsi="Arial" w:cs="Arial"/>
          <w:sz w:val="20"/>
          <w:szCs w:val="20"/>
        </w:rPr>
        <w:t>life</w:t>
      </w:r>
      <w:r w:rsidRPr="0031359C">
        <w:rPr>
          <w:rFonts w:ascii="Arial" w:hAnsi="Arial" w:cs="Arial"/>
          <w:sz w:val="20"/>
          <w:szCs w:val="20"/>
        </w:rPr>
        <w:t xml:space="preserve">: is less more? </w:t>
      </w:r>
      <w:hyperlink r:id="rId19" w:tooltip="Irish journal of medical science." w:history="1">
        <w:r w:rsidRPr="0031359C">
          <w:rPr>
            <w:rStyle w:val="highlight2"/>
            <w:rFonts w:ascii="Arial" w:hAnsi="Arial" w:cs="Arial"/>
            <w:sz w:val="20"/>
            <w:szCs w:val="20"/>
          </w:rPr>
          <w:t>Ir J Med Sci</w:t>
        </w:r>
        <w:r w:rsidRPr="0031359C">
          <w:rPr>
            <w:rFonts w:ascii="Arial" w:hAnsi="Arial" w:cs="Arial"/>
            <w:sz w:val="20"/>
            <w:szCs w:val="20"/>
          </w:rPr>
          <w:t>.</w:t>
        </w:r>
      </w:hyperlink>
      <w:r w:rsidRPr="0031359C">
        <w:rPr>
          <w:rFonts w:ascii="Arial" w:hAnsi="Arial" w:cs="Arial"/>
          <w:sz w:val="20"/>
          <w:szCs w:val="20"/>
        </w:rPr>
        <w:t xml:space="preserve"> </w:t>
      </w:r>
      <w:r w:rsidRPr="0031359C">
        <w:rPr>
          <w:rStyle w:val="highlight2"/>
          <w:rFonts w:ascii="Arial" w:hAnsi="Arial" w:cs="Arial"/>
          <w:sz w:val="20"/>
          <w:szCs w:val="20"/>
        </w:rPr>
        <w:t>2013</w:t>
      </w:r>
      <w:r w:rsidRPr="0031359C">
        <w:rPr>
          <w:rFonts w:ascii="Arial" w:hAnsi="Arial" w:cs="Arial"/>
          <w:sz w:val="20"/>
          <w:szCs w:val="20"/>
        </w:rPr>
        <w:t xml:space="preserve"> </w:t>
      </w:r>
      <w:r w:rsidRPr="0031359C">
        <w:rPr>
          <w:rStyle w:val="highlight2"/>
          <w:rFonts w:ascii="Arial" w:hAnsi="Arial" w:cs="Arial"/>
          <w:sz w:val="20"/>
          <w:szCs w:val="20"/>
        </w:rPr>
        <w:t>Mar</w:t>
      </w:r>
      <w:r w:rsidRPr="0031359C">
        <w:rPr>
          <w:rFonts w:ascii="Arial" w:hAnsi="Arial" w:cs="Arial"/>
          <w:sz w:val="20"/>
          <w:szCs w:val="20"/>
        </w:rPr>
        <w:t>;182(1):107-12.</w:t>
      </w:r>
    </w:p>
    <w:p w:rsidR="00C220C6" w:rsidRPr="0031359C" w:rsidRDefault="00C220C6" w:rsidP="00C220C6">
      <w:pPr>
        <w:pStyle w:val="ListParagraph"/>
        <w:numPr>
          <w:ilvl w:val="0"/>
          <w:numId w:val="1"/>
        </w:numPr>
        <w:shd w:val="clear" w:color="auto" w:fill="FFFFFF"/>
        <w:spacing w:after="0" w:line="240" w:lineRule="auto"/>
        <w:rPr>
          <w:rFonts w:ascii="Arial" w:hAnsi="Arial" w:cs="Arial"/>
          <w:sz w:val="20"/>
          <w:szCs w:val="20"/>
        </w:rPr>
      </w:pPr>
      <w:r w:rsidRPr="0031359C">
        <w:rPr>
          <w:rFonts w:ascii="Arial" w:hAnsi="Arial" w:cs="Arial"/>
          <w:sz w:val="20"/>
          <w:szCs w:val="20"/>
        </w:rPr>
        <w:t xml:space="preserve">Scott IA, Hilmer SN, Reeve E, Potter K, Le Couteur D, </w:t>
      </w:r>
      <w:hyperlink r:id="rId20" w:history="1">
        <w:r w:rsidRPr="0031359C">
          <w:rPr>
            <w:rFonts w:ascii="Arial" w:hAnsi="Arial" w:cs="Arial"/>
            <w:sz w:val="20"/>
            <w:szCs w:val="20"/>
          </w:rPr>
          <w:t>Rigby D</w:t>
        </w:r>
      </w:hyperlink>
      <w:r w:rsidRPr="0031359C">
        <w:rPr>
          <w:rFonts w:ascii="Arial" w:hAnsi="Arial" w:cs="Arial"/>
          <w:sz w:val="20"/>
          <w:szCs w:val="20"/>
        </w:rPr>
        <w:t>, Gnjidic D, Del Mar CB, Roughead EE, Page A, Jansen J, Martin JH. Reducing inappropriate polypharmacy: the process of deprescribing.</w:t>
      </w:r>
      <w:r w:rsidRPr="0031359C">
        <w:rPr>
          <w:rStyle w:val="highlight2"/>
          <w:rFonts w:ascii="Arial" w:hAnsi="Arial" w:cs="Arial"/>
          <w:sz w:val="20"/>
          <w:szCs w:val="20"/>
        </w:rPr>
        <w:t xml:space="preserve"> JAMA Intern Med</w:t>
      </w:r>
      <w:r w:rsidRPr="0031359C">
        <w:rPr>
          <w:rFonts w:ascii="Arial" w:hAnsi="Arial" w:cs="Arial"/>
          <w:sz w:val="20"/>
          <w:szCs w:val="20"/>
        </w:rPr>
        <w:t xml:space="preserve">. </w:t>
      </w:r>
      <w:r w:rsidRPr="0031359C">
        <w:rPr>
          <w:rStyle w:val="highlight2"/>
          <w:rFonts w:ascii="Arial" w:hAnsi="Arial" w:cs="Arial"/>
          <w:sz w:val="20"/>
          <w:szCs w:val="20"/>
        </w:rPr>
        <w:t>2015</w:t>
      </w:r>
      <w:r w:rsidRPr="0031359C">
        <w:rPr>
          <w:rFonts w:ascii="Arial" w:hAnsi="Arial" w:cs="Arial"/>
          <w:sz w:val="20"/>
          <w:szCs w:val="20"/>
        </w:rPr>
        <w:t xml:space="preserve"> May;</w:t>
      </w:r>
      <w:r w:rsidRPr="0031359C">
        <w:rPr>
          <w:rStyle w:val="highlight2"/>
          <w:rFonts w:ascii="Arial" w:hAnsi="Arial" w:cs="Arial"/>
          <w:sz w:val="20"/>
          <w:szCs w:val="20"/>
        </w:rPr>
        <w:t>175</w:t>
      </w:r>
      <w:r w:rsidRPr="0031359C">
        <w:rPr>
          <w:rFonts w:ascii="Arial" w:hAnsi="Arial" w:cs="Arial"/>
          <w:sz w:val="20"/>
          <w:szCs w:val="20"/>
        </w:rPr>
        <w:t>(</w:t>
      </w:r>
      <w:r w:rsidRPr="0031359C">
        <w:rPr>
          <w:rStyle w:val="highlight2"/>
          <w:rFonts w:ascii="Arial" w:hAnsi="Arial" w:cs="Arial"/>
          <w:sz w:val="20"/>
          <w:szCs w:val="20"/>
        </w:rPr>
        <w:t>5</w:t>
      </w:r>
      <w:r w:rsidRPr="0031359C">
        <w:rPr>
          <w:rFonts w:ascii="Arial" w:hAnsi="Arial" w:cs="Arial"/>
          <w:sz w:val="20"/>
          <w:szCs w:val="20"/>
        </w:rPr>
        <w:t>):</w:t>
      </w:r>
      <w:r w:rsidRPr="0031359C">
        <w:rPr>
          <w:rStyle w:val="highlight2"/>
          <w:rFonts w:ascii="Arial" w:hAnsi="Arial" w:cs="Arial"/>
          <w:sz w:val="20"/>
          <w:szCs w:val="20"/>
        </w:rPr>
        <w:t>827-34</w:t>
      </w:r>
      <w:r w:rsidRPr="0031359C">
        <w:rPr>
          <w:rFonts w:ascii="Arial" w:hAnsi="Arial" w:cs="Arial"/>
          <w:sz w:val="20"/>
          <w:szCs w:val="20"/>
        </w:rPr>
        <w:t xml:space="preserve">. </w:t>
      </w:r>
    </w:p>
    <w:p w:rsidR="00C220C6" w:rsidRPr="0031359C" w:rsidRDefault="00657879" w:rsidP="00C220C6">
      <w:pPr>
        <w:pStyle w:val="ListParagraph"/>
        <w:numPr>
          <w:ilvl w:val="0"/>
          <w:numId w:val="1"/>
        </w:numPr>
        <w:shd w:val="clear" w:color="auto" w:fill="FFFFFF"/>
        <w:spacing w:line="240" w:lineRule="auto"/>
        <w:rPr>
          <w:rFonts w:ascii="Arial" w:eastAsia="Times New Roman" w:hAnsi="Arial" w:cs="Arial"/>
          <w:sz w:val="20"/>
          <w:szCs w:val="20"/>
        </w:rPr>
      </w:pPr>
      <w:hyperlink r:id="rId21" w:history="1">
        <w:r w:rsidR="00C220C6" w:rsidRPr="0031359C">
          <w:rPr>
            <w:rFonts w:ascii="Arial" w:hAnsi="Arial" w:cs="Arial"/>
            <w:sz w:val="20"/>
            <w:szCs w:val="20"/>
          </w:rPr>
          <w:t>van Nordennen RT</w:t>
        </w:r>
      </w:hyperlink>
      <w:r w:rsidR="00C220C6" w:rsidRPr="0031359C">
        <w:rPr>
          <w:rFonts w:ascii="Arial" w:hAnsi="Arial" w:cs="Arial"/>
          <w:sz w:val="20"/>
          <w:szCs w:val="20"/>
          <w:vertAlign w:val="superscript"/>
        </w:rPr>
        <w:t>1</w:t>
      </w:r>
      <w:r w:rsidR="00C220C6" w:rsidRPr="0031359C">
        <w:rPr>
          <w:rFonts w:ascii="Arial" w:hAnsi="Arial" w:cs="Arial"/>
          <w:sz w:val="20"/>
          <w:szCs w:val="20"/>
        </w:rPr>
        <w:t xml:space="preserve">, </w:t>
      </w:r>
      <w:hyperlink r:id="rId22" w:history="1">
        <w:r w:rsidR="00C220C6" w:rsidRPr="0031359C">
          <w:rPr>
            <w:rFonts w:ascii="Arial" w:hAnsi="Arial" w:cs="Arial"/>
            <w:sz w:val="20"/>
            <w:szCs w:val="20"/>
          </w:rPr>
          <w:t>Lavrijsen JC</w:t>
        </w:r>
      </w:hyperlink>
      <w:r w:rsidR="00C220C6" w:rsidRPr="0031359C">
        <w:rPr>
          <w:rFonts w:ascii="Arial" w:hAnsi="Arial" w:cs="Arial"/>
          <w:sz w:val="20"/>
          <w:szCs w:val="20"/>
        </w:rPr>
        <w:t xml:space="preserve">, </w:t>
      </w:r>
      <w:hyperlink r:id="rId23" w:history="1">
        <w:r w:rsidR="00C220C6" w:rsidRPr="0031359C">
          <w:rPr>
            <w:rFonts w:ascii="Arial" w:hAnsi="Arial" w:cs="Arial"/>
            <w:sz w:val="20"/>
            <w:szCs w:val="20"/>
          </w:rPr>
          <w:t>Vissers KC</w:t>
        </w:r>
      </w:hyperlink>
      <w:r w:rsidR="00C220C6" w:rsidRPr="0031359C">
        <w:rPr>
          <w:rFonts w:ascii="Arial" w:hAnsi="Arial" w:cs="Arial"/>
          <w:sz w:val="20"/>
          <w:szCs w:val="20"/>
        </w:rPr>
        <w:t xml:space="preserve">, </w:t>
      </w:r>
      <w:hyperlink r:id="rId24" w:history="1">
        <w:r w:rsidR="00C220C6" w:rsidRPr="0031359C">
          <w:rPr>
            <w:rFonts w:ascii="Arial" w:hAnsi="Arial" w:cs="Arial"/>
            <w:sz w:val="20"/>
            <w:szCs w:val="20"/>
          </w:rPr>
          <w:t>Koopmans RT</w:t>
        </w:r>
      </w:hyperlink>
      <w:r w:rsidR="00C220C6" w:rsidRPr="0031359C">
        <w:rPr>
          <w:rFonts w:ascii="Arial" w:hAnsi="Arial" w:cs="Arial"/>
          <w:sz w:val="20"/>
          <w:szCs w:val="20"/>
        </w:rPr>
        <w:t xml:space="preserve">. </w:t>
      </w:r>
      <w:r w:rsidR="00C220C6" w:rsidRPr="0031359C">
        <w:rPr>
          <w:rStyle w:val="highlight2"/>
          <w:rFonts w:ascii="Arial" w:hAnsi="Arial" w:cs="Arial"/>
          <w:sz w:val="20"/>
          <w:szCs w:val="20"/>
        </w:rPr>
        <w:t>Decision</w:t>
      </w:r>
      <w:r w:rsidR="00C220C6" w:rsidRPr="0031359C">
        <w:rPr>
          <w:rFonts w:ascii="Arial" w:hAnsi="Arial" w:cs="Arial"/>
          <w:sz w:val="20"/>
          <w:szCs w:val="20"/>
        </w:rPr>
        <w:t xml:space="preserve"> </w:t>
      </w:r>
      <w:r w:rsidR="00C220C6" w:rsidRPr="0031359C">
        <w:rPr>
          <w:rStyle w:val="highlight2"/>
          <w:rFonts w:ascii="Arial" w:hAnsi="Arial" w:cs="Arial"/>
          <w:sz w:val="20"/>
          <w:szCs w:val="20"/>
        </w:rPr>
        <w:t>making</w:t>
      </w:r>
      <w:r w:rsidR="00C220C6" w:rsidRPr="0031359C">
        <w:rPr>
          <w:rFonts w:ascii="Arial" w:hAnsi="Arial" w:cs="Arial"/>
          <w:sz w:val="20"/>
          <w:szCs w:val="20"/>
        </w:rPr>
        <w:t xml:space="preserve"> about </w:t>
      </w:r>
      <w:r w:rsidR="00C220C6" w:rsidRPr="0031359C">
        <w:rPr>
          <w:rStyle w:val="highlight2"/>
          <w:rFonts w:ascii="Arial" w:hAnsi="Arial" w:cs="Arial"/>
          <w:sz w:val="20"/>
          <w:szCs w:val="20"/>
        </w:rPr>
        <w:t>change</w:t>
      </w:r>
      <w:r w:rsidR="00C220C6" w:rsidRPr="0031359C">
        <w:rPr>
          <w:rFonts w:ascii="Arial" w:hAnsi="Arial" w:cs="Arial"/>
          <w:sz w:val="20"/>
          <w:szCs w:val="20"/>
        </w:rPr>
        <w:t xml:space="preserve"> of </w:t>
      </w:r>
      <w:r w:rsidR="00C220C6" w:rsidRPr="0031359C">
        <w:rPr>
          <w:rStyle w:val="highlight2"/>
          <w:rFonts w:ascii="Arial" w:hAnsi="Arial" w:cs="Arial"/>
          <w:sz w:val="20"/>
          <w:szCs w:val="20"/>
        </w:rPr>
        <w:t>medication</w:t>
      </w:r>
      <w:r w:rsidR="00C220C6" w:rsidRPr="0031359C">
        <w:rPr>
          <w:rFonts w:ascii="Arial" w:hAnsi="Arial" w:cs="Arial"/>
          <w:sz w:val="20"/>
          <w:szCs w:val="20"/>
        </w:rPr>
        <w:t xml:space="preserve"> for </w:t>
      </w:r>
      <w:r w:rsidR="00C220C6" w:rsidRPr="0031359C">
        <w:rPr>
          <w:rStyle w:val="highlight2"/>
          <w:rFonts w:ascii="Arial" w:hAnsi="Arial" w:cs="Arial"/>
          <w:sz w:val="20"/>
          <w:szCs w:val="20"/>
        </w:rPr>
        <w:t>comorbid</w:t>
      </w:r>
      <w:r w:rsidR="00C220C6" w:rsidRPr="0031359C">
        <w:rPr>
          <w:rFonts w:ascii="Arial" w:hAnsi="Arial" w:cs="Arial"/>
          <w:sz w:val="20"/>
          <w:szCs w:val="20"/>
        </w:rPr>
        <w:t xml:space="preserve"> </w:t>
      </w:r>
      <w:r w:rsidR="00C220C6" w:rsidRPr="0031359C">
        <w:rPr>
          <w:rStyle w:val="highlight2"/>
          <w:rFonts w:ascii="Arial" w:hAnsi="Arial" w:cs="Arial"/>
          <w:sz w:val="20"/>
          <w:szCs w:val="20"/>
        </w:rPr>
        <w:t>disease</w:t>
      </w:r>
      <w:r w:rsidR="00C220C6" w:rsidRPr="0031359C">
        <w:rPr>
          <w:rFonts w:ascii="Arial" w:hAnsi="Arial" w:cs="Arial"/>
          <w:sz w:val="20"/>
          <w:szCs w:val="20"/>
        </w:rPr>
        <w:t xml:space="preserve"> at the </w:t>
      </w:r>
      <w:r w:rsidR="00C220C6" w:rsidRPr="0031359C">
        <w:rPr>
          <w:rStyle w:val="highlight2"/>
          <w:rFonts w:ascii="Arial" w:hAnsi="Arial" w:cs="Arial"/>
          <w:sz w:val="20"/>
          <w:szCs w:val="20"/>
        </w:rPr>
        <w:t>end</w:t>
      </w:r>
      <w:r w:rsidR="00C220C6" w:rsidRPr="0031359C">
        <w:rPr>
          <w:rFonts w:ascii="Arial" w:hAnsi="Arial" w:cs="Arial"/>
          <w:sz w:val="20"/>
          <w:szCs w:val="20"/>
        </w:rPr>
        <w:t xml:space="preserve"> of </w:t>
      </w:r>
      <w:r w:rsidR="00C220C6" w:rsidRPr="0031359C">
        <w:rPr>
          <w:rStyle w:val="highlight2"/>
          <w:rFonts w:ascii="Arial" w:hAnsi="Arial" w:cs="Arial"/>
          <w:sz w:val="20"/>
          <w:szCs w:val="20"/>
        </w:rPr>
        <w:t>life</w:t>
      </w:r>
      <w:r w:rsidR="00C220C6" w:rsidRPr="0031359C">
        <w:rPr>
          <w:rFonts w:ascii="Arial" w:hAnsi="Arial" w:cs="Arial"/>
          <w:sz w:val="20"/>
          <w:szCs w:val="20"/>
        </w:rPr>
        <w:t xml:space="preserve">: an </w:t>
      </w:r>
      <w:r w:rsidR="00C220C6" w:rsidRPr="0031359C">
        <w:rPr>
          <w:rStyle w:val="highlight2"/>
          <w:rFonts w:ascii="Arial" w:hAnsi="Arial" w:cs="Arial"/>
          <w:sz w:val="20"/>
          <w:szCs w:val="20"/>
        </w:rPr>
        <w:t>integrative</w:t>
      </w:r>
      <w:r w:rsidR="00C220C6" w:rsidRPr="0031359C">
        <w:rPr>
          <w:rFonts w:ascii="Arial" w:hAnsi="Arial" w:cs="Arial"/>
          <w:sz w:val="20"/>
          <w:szCs w:val="20"/>
        </w:rPr>
        <w:t xml:space="preserve"> </w:t>
      </w:r>
      <w:r w:rsidR="00C220C6" w:rsidRPr="0031359C">
        <w:rPr>
          <w:rStyle w:val="highlight2"/>
          <w:rFonts w:ascii="Arial" w:hAnsi="Arial" w:cs="Arial"/>
          <w:sz w:val="20"/>
          <w:szCs w:val="20"/>
        </w:rPr>
        <w:t>review</w:t>
      </w:r>
      <w:r w:rsidR="00C220C6" w:rsidRPr="0031359C">
        <w:rPr>
          <w:rFonts w:ascii="Arial" w:hAnsi="Arial" w:cs="Arial"/>
          <w:sz w:val="20"/>
          <w:szCs w:val="20"/>
        </w:rPr>
        <w:t xml:space="preserve">. </w:t>
      </w:r>
      <w:hyperlink r:id="rId25" w:tooltip="Drugs &amp; aging." w:history="1">
        <w:r w:rsidR="00C220C6" w:rsidRPr="0031359C">
          <w:rPr>
            <w:rFonts w:ascii="Arial" w:hAnsi="Arial" w:cs="Arial"/>
            <w:sz w:val="20"/>
            <w:szCs w:val="20"/>
          </w:rPr>
          <w:t>Drugs Aging.</w:t>
        </w:r>
      </w:hyperlink>
      <w:r w:rsidR="00C220C6" w:rsidRPr="0031359C">
        <w:rPr>
          <w:rFonts w:ascii="Arial" w:hAnsi="Arial" w:cs="Arial"/>
          <w:sz w:val="20"/>
          <w:szCs w:val="20"/>
        </w:rPr>
        <w:t xml:space="preserve"> 2014 Jul;31(7):501-12</w:t>
      </w:r>
    </w:p>
    <w:p w:rsidR="00C220C6" w:rsidRPr="0031359C" w:rsidRDefault="00657879" w:rsidP="00C220C6">
      <w:pPr>
        <w:pStyle w:val="ListParagraph"/>
        <w:numPr>
          <w:ilvl w:val="0"/>
          <w:numId w:val="1"/>
        </w:numPr>
        <w:shd w:val="clear" w:color="auto" w:fill="FFFFFF"/>
        <w:spacing w:line="240" w:lineRule="auto"/>
        <w:rPr>
          <w:rFonts w:ascii="Arial" w:eastAsia="Times New Roman" w:hAnsi="Arial" w:cs="Arial"/>
          <w:sz w:val="20"/>
          <w:szCs w:val="20"/>
        </w:rPr>
      </w:pPr>
      <w:hyperlink r:id="rId26" w:history="1">
        <w:r w:rsidR="00C220C6" w:rsidRPr="00680F54">
          <w:rPr>
            <w:rFonts w:ascii="Arial" w:hAnsi="Arial" w:cs="Arial"/>
            <w:sz w:val="20"/>
            <w:szCs w:val="20"/>
            <w:lang w:val="es-US"/>
          </w:rPr>
          <w:t>Rodríguez LA</w:t>
        </w:r>
      </w:hyperlink>
      <w:r w:rsidR="00C220C6" w:rsidRPr="00680F54">
        <w:rPr>
          <w:rFonts w:ascii="Arial" w:hAnsi="Arial" w:cs="Arial"/>
          <w:sz w:val="20"/>
          <w:szCs w:val="20"/>
          <w:vertAlign w:val="superscript"/>
          <w:lang w:val="es-US"/>
        </w:rPr>
        <w:t>1</w:t>
      </w:r>
      <w:r w:rsidR="00C220C6" w:rsidRPr="00680F54">
        <w:rPr>
          <w:rFonts w:ascii="Arial" w:hAnsi="Arial" w:cs="Arial"/>
          <w:sz w:val="20"/>
          <w:szCs w:val="20"/>
          <w:lang w:val="es-US"/>
        </w:rPr>
        <w:t xml:space="preserve">, </w:t>
      </w:r>
      <w:hyperlink r:id="rId27" w:history="1">
        <w:r w:rsidR="00C220C6" w:rsidRPr="00680F54">
          <w:rPr>
            <w:rFonts w:ascii="Arial" w:hAnsi="Arial" w:cs="Arial"/>
            <w:sz w:val="20"/>
            <w:szCs w:val="20"/>
            <w:lang w:val="es-US"/>
          </w:rPr>
          <w:t>Cea-Soriano L</w:t>
        </w:r>
      </w:hyperlink>
      <w:r w:rsidR="00C220C6" w:rsidRPr="00680F54">
        <w:rPr>
          <w:rFonts w:ascii="Arial" w:hAnsi="Arial" w:cs="Arial"/>
          <w:sz w:val="20"/>
          <w:szCs w:val="20"/>
          <w:lang w:val="es-US"/>
        </w:rPr>
        <w:t xml:space="preserve">, </w:t>
      </w:r>
      <w:hyperlink r:id="rId28" w:history="1">
        <w:r w:rsidR="00C220C6" w:rsidRPr="00680F54">
          <w:rPr>
            <w:rFonts w:ascii="Arial" w:hAnsi="Arial" w:cs="Arial"/>
            <w:sz w:val="20"/>
            <w:szCs w:val="20"/>
            <w:lang w:val="es-US"/>
          </w:rPr>
          <w:t>Martín-Merino E</w:t>
        </w:r>
      </w:hyperlink>
      <w:r w:rsidR="00C220C6" w:rsidRPr="00680F54">
        <w:rPr>
          <w:rFonts w:ascii="Arial" w:hAnsi="Arial" w:cs="Arial"/>
          <w:sz w:val="20"/>
          <w:szCs w:val="20"/>
          <w:lang w:val="es-US"/>
        </w:rPr>
        <w:t xml:space="preserve">, </w:t>
      </w:r>
      <w:hyperlink r:id="rId29" w:history="1">
        <w:r w:rsidR="00C220C6" w:rsidRPr="00680F54">
          <w:rPr>
            <w:rFonts w:ascii="Arial" w:hAnsi="Arial" w:cs="Arial"/>
            <w:sz w:val="20"/>
            <w:szCs w:val="20"/>
            <w:lang w:val="es-US"/>
          </w:rPr>
          <w:t>Johansson S</w:t>
        </w:r>
      </w:hyperlink>
      <w:r w:rsidR="00C220C6" w:rsidRPr="00680F54">
        <w:rPr>
          <w:rFonts w:ascii="Arial" w:hAnsi="Arial" w:cs="Arial"/>
          <w:sz w:val="20"/>
          <w:szCs w:val="20"/>
          <w:lang w:val="es-US"/>
        </w:rPr>
        <w:t xml:space="preserve">. </w:t>
      </w:r>
      <w:r w:rsidR="00C220C6" w:rsidRPr="0031359C">
        <w:rPr>
          <w:rFonts w:ascii="Arial" w:hAnsi="Arial" w:cs="Arial"/>
          <w:sz w:val="20"/>
          <w:szCs w:val="20"/>
        </w:rPr>
        <w:t xml:space="preserve">Discontinuation of low dose aspirin and risk of myocardial infarction: case-control study in UK primary care. </w:t>
      </w:r>
      <w:hyperlink r:id="rId30" w:tooltip="BMJ (Clinical research ed.)." w:history="1">
        <w:r w:rsidR="00C220C6" w:rsidRPr="0031359C">
          <w:rPr>
            <w:rStyle w:val="highlight2"/>
            <w:rFonts w:ascii="Arial" w:hAnsi="Arial" w:cs="Arial"/>
            <w:sz w:val="20"/>
            <w:szCs w:val="20"/>
          </w:rPr>
          <w:t>BMJ</w:t>
        </w:r>
        <w:r w:rsidR="00C220C6" w:rsidRPr="0031359C">
          <w:rPr>
            <w:rFonts w:ascii="Arial" w:hAnsi="Arial" w:cs="Arial"/>
            <w:sz w:val="20"/>
            <w:szCs w:val="20"/>
          </w:rPr>
          <w:t>.</w:t>
        </w:r>
      </w:hyperlink>
      <w:r w:rsidR="00C220C6" w:rsidRPr="0031359C">
        <w:rPr>
          <w:rFonts w:ascii="Arial" w:hAnsi="Arial" w:cs="Arial"/>
          <w:sz w:val="20"/>
          <w:szCs w:val="20"/>
        </w:rPr>
        <w:t xml:space="preserve"> 2011 Jul 19;</w:t>
      </w:r>
      <w:proofErr w:type="gramStart"/>
      <w:r w:rsidR="00C220C6" w:rsidRPr="0031359C">
        <w:rPr>
          <w:rFonts w:ascii="Arial" w:hAnsi="Arial" w:cs="Arial"/>
          <w:sz w:val="20"/>
          <w:szCs w:val="20"/>
        </w:rPr>
        <w:t>343:</w:t>
      </w:r>
      <w:r w:rsidR="00C220C6" w:rsidRPr="0031359C">
        <w:rPr>
          <w:rStyle w:val="highlight2"/>
          <w:rFonts w:ascii="Arial" w:hAnsi="Arial" w:cs="Arial"/>
          <w:sz w:val="20"/>
          <w:szCs w:val="20"/>
        </w:rPr>
        <w:t>d</w:t>
      </w:r>
      <w:proofErr w:type="gramEnd"/>
      <w:r w:rsidR="00C220C6" w:rsidRPr="0031359C">
        <w:rPr>
          <w:rStyle w:val="highlight2"/>
          <w:rFonts w:ascii="Arial" w:hAnsi="Arial" w:cs="Arial"/>
          <w:sz w:val="20"/>
          <w:szCs w:val="20"/>
        </w:rPr>
        <w:t>4094</w:t>
      </w:r>
      <w:r w:rsidR="00C220C6" w:rsidRPr="0031359C">
        <w:rPr>
          <w:rFonts w:ascii="Arial" w:hAnsi="Arial" w:cs="Arial"/>
          <w:sz w:val="20"/>
          <w:szCs w:val="20"/>
        </w:rPr>
        <w:t>.</w:t>
      </w:r>
    </w:p>
    <w:p w:rsidR="00C220C6" w:rsidRPr="0031359C" w:rsidRDefault="00657879" w:rsidP="00C220C6">
      <w:pPr>
        <w:pStyle w:val="ListParagraph"/>
        <w:numPr>
          <w:ilvl w:val="0"/>
          <w:numId w:val="1"/>
        </w:numPr>
        <w:shd w:val="clear" w:color="auto" w:fill="FFFFFF"/>
        <w:spacing w:line="240" w:lineRule="auto"/>
        <w:rPr>
          <w:rFonts w:ascii="Arial" w:eastAsia="Times New Roman" w:hAnsi="Arial" w:cs="Arial"/>
          <w:sz w:val="20"/>
          <w:szCs w:val="20"/>
        </w:rPr>
      </w:pPr>
      <w:hyperlink r:id="rId31" w:history="1">
        <w:r w:rsidR="00C220C6" w:rsidRPr="0031359C">
          <w:rPr>
            <w:rFonts w:ascii="Arial" w:hAnsi="Arial" w:cs="Arial"/>
            <w:sz w:val="20"/>
            <w:szCs w:val="20"/>
          </w:rPr>
          <w:t>Holmes HM</w:t>
        </w:r>
      </w:hyperlink>
      <w:r w:rsidR="00C220C6" w:rsidRPr="0031359C">
        <w:rPr>
          <w:rFonts w:ascii="Arial" w:hAnsi="Arial" w:cs="Arial"/>
          <w:sz w:val="20"/>
          <w:szCs w:val="20"/>
          <w:vertAlign w:val="superscript"/>
        </w:rPr>
        <w:t>1</w:t>
      </w:r>
      <w:r w:rsidR="00C220C6" w:rsidRPr="0031359C">
        <w:rPr>
          <w:rFonts w:ascii="Arial" w:hAnsi="Arial" w:cs="Arial"/>
          <w:sz w:val="20"/>
          <w:szCs w:val="20"/>
        </w:rPr>
        <w:t xml:space="preserve">, </w:t>
      </w:r>
      <w:hyperlink r:id="rId32" w:history="1">
        <w:r w:rsidR="00C220C6" w:rsidRPr="0031359C">
          <w:rPr>
            <w:rFonts w:ascii="Arial" w:hAnsi="Arial" w:cs="Arial"/>
            <w:sz w:val="20"/>
            <w:szCs w:val="20"/>
          </w:rPr>
          <w:t>Kaiser K</w:t>
        </w:r>
      </w:hyperlink>
      <w:r w:rsidR="00C220C6" w:rsidRPr="0031359C">
        <w:rPr>
          <w:rFonts w:ascii="Arial" w:hAnsi="Arial" w:cs="Arial"/>
          <w:sz w:val="20"/>
          <w:szCs w:val="20"/>
        </w:rPr>
        <w:t xml:space="preserve">, </w:t>
      </w:r>
      <w:hyperlink r:id="rId33" w:history="1">
        <w:r w:rsidR="00C220C6" w:rsidRPr="0031359C">
          <w:rPr>
            <w:rFonts w:ascii="Arial" w:hAnsi="Arial" w:cs="Arial"/>
            <w:sz w:val="20"/>
            <w:szCs w:val="20"/>
          </w:rPr>
          <w:t>Jackson S</w:t>
        </w:r>
      </w:hyperlink>
      <w:r w:rsidR="00C220C6" w:rsidRPr="0031359C">
        <w:rPr>
          <w:rFonts w:ascii="Arial" w:hAnsi="Arial" w:cs="Arial"/>
          <w:sz w:val="20"/>
          <w:szCs w:val="20"/>
        </w:rPr>
        <w:t xml:space="preserve">, </w:t>
      </w:r>
      <w:hyperlink r:id="rId34" w:history="1">
        <w:r w:rsidR="00C220C6" w:rsidRPr="0031359C">
          <w:rPr>
            <w:rFonts w:ascii="Arial" w:hAnsi="Arial" w:cs="Arial"/>
            <w:sz w:val="20"/>
            <w:szCs w:val="20"/>
          </w:rPr>
          <w:t>McPherson ML</w:t>
        </w:r>
      </w:hyperlink>
      <w:r w:rsidR="00C220C6" w:rsidRPr="0031359C">
        <w:rPr>
          <w:rFonts w:ascii="Arial" w:hAnsi="Arial" w:cs="Arial"/>
          <w:sz w:val="20"/>
          <w:szCs w:val="20"/>
        </w:rPr>
        <w:t xml:space="preserve">. Soliciting an herbal medicine and supplement use history at hospice admission. </w:t>
      </w:r>
      <w:hyperlink r:id="rId35" w:tooltip="Journal of palliative medicine." w:history="1">
        <w:r w:rsidR="00C220C6" w:rsidRPr="0031359C">
          <w:rPr>
            <w:rFonts w:ascii="Arial" w:hAnsi="Arial" w:cs="Arial"/>
            <w:sz w:val="20"/>
            <w:szCs w:val="20"/>
          </w:rPr>
          <w:t>J Palliat Med.</w:t>
        </w:r>
      </w:hyperlink>
      <w:r w:rsidR="00C220C6" w:rsidRPr="0031359C">
        <w:rPr>
          <w:rFonts w:ascii="Arial" w:hAnsi="Arial" w:cs="Arial"/>
          <w:sz w:val="20"/>
          <w:szCs w:val="20"/>
        </w:rPr>
        <w:t xml:space="preserve"> 2010 Jun;13(6):685-94.</w:t>
      </w:r>
    </w:p>
    <w:p w:rsidR="00C220C6" w:rsidRPr="0031359C" w:rsidRDefault="00C220C6" w:rsidP="00C220C6">
      <w:pPr>
        <w:pStyle w:val="ListParagraph"/>
        <w:numPr>
          <w:ilvl w:val="0"/>
          <w:numId w:val="1"/>
        </w:numPr>
        <w:shd w:val="clear" w:color="auto" w:fill="FFFFFF"/>
        <w:spacing w:after="0" w:line="240" w:lineRule="auto"/>
        <w:rPr>
          <w:rFonts w:ascii="Arial" w:hAnsi="Arial" w:cs="Arial"/>
          <w:sz w:val="20"/>
          <w:szCs w:val="20"/>
        </w:rPr>
      </w:pPr>
      <w:r w:rsidRPr="0031359C">
        <w:rPr>
          <w:rFonts w:ascii="Arial" w:hAnsi="Arial" w:cs="Arial"/>
          <w:sz w:val="20"/>
          <w:szCs w:val="20"/>
        </w:rPr>
        <w:t xml:space="preserve">Stevenson J, Abernethy AP, Miller C, Currow DC. Managing comorbidities in patients at the end of life. </w:t>
      </w:r>
      <w:hyperlink r:id="rId36" w:tooltip="BMJ (Clinical research ed.)." w:history="1">
        <w:r w:rsidRPr="0031359C">
          <w:rPr>
            <w:rStyle w:val="highlight2"/>
            <w:rFonts w:ascii="Arial" w:hAnsi="Arial" w:cs="Arial"/>
            <w:sz w:val="20"/>
            <w:szCs w:val="20"/>
          </w:rPr>
          <w:t>BMJ</w:t>
        </w:r>
        <w:r w:rsidRPr="0031359C">
          <w:rPr>
            <w:rFonts w:ascii="Arial" w:hAnsi="Arial" w:cs="Arial"/>
            <w:sz w:val="20"/>
            <w:szCs w:val="20"/>
          </w:rPr>
          <w:t>.</w:t>
        </w:r>
      </w:hyperlink>
      <w:r w:rsidRPr="0031359C">
        <w:rPr>
          <w:rFonts w:ascii="Arial" w:hAnsi="Arial" w:cs="Arial"/>
          <w:sz w:val="20"/>
          <w:szCs w:val="20"/>
        </w:rPr>
        <w:t xml:space="preserve"> </w:t>
      </w:r>
      <w:r w:rsidRPr="0031359C">
        <w:rPr>
          <w:rStyle w:val="highlight2"/>
          <w:rFonts w:ascii="Arial" w:hAnsi="Arial" w:cs="Arial"/>
          <w:sz w:val="20"/>
          <w:szCs w:val="20"/>
        </w:rPr>
        <w:t>2004</w:t>
      </w:r>
      <w:r w:rsidRPr="0031359C">
        <w:rPr>
          <w:rFonts w:ascii="Arial" w:hAnsi="Arial" w:cs="Arial"/>
          <w:sz w:val="20"/>
          <w:szCs w:val="20"/>
        </w:rPr>
        <w:t xml:space="preserve"> Oct 16;</w:t>
      </w:r>
      <w:r w:rsidRPr="0031359C">
        <w:rPr>
          <w:rStyle w:val="highlight2"/>
          <w:rFonts w:ascii="Arial" w:hAnsi="Arial" w:cs="Arial"/>
          <w:sz w:val="20"/>
          <w:szCs w:val="20"/>
        </w:rPr>
        <w:t>329</w:t>
      </w:r>
      <w:r w:rsidRPr="0031359C">
        <w:rPr>
          <w:rFonts w:ascii="Arial" w:hAnsi="Arial" w:cs="Arial"/>
          <w:sz w:val="20"/>
          <w:szCs w:val="20"/>
        </w:rPr>
        <w:t>(</w:t>
      </w:r>
      <w:r w:rsidRPr="0031359C">
        <w:rPr>
          <w:rStyle w:val="highlight2"/>
          <w:rFonts w:ascii="Arial" w:hAnsi="Arial" w:cs="Arial"/>
          <w:sz w:val="20"/>
          <w:szCs w:val="20"/>
        </w:rPr>
        <w:t>7471</w:t>
      </w:r>
      <w:r w:rsidRPr="0031359C">
        <w:rPr>
          <w:rFonts w:ascii="Arial" w:hAnsi="Arial" w:cs="Arial"/>
          <w:sz w:val="20"/>
          <w:szCs w:val="20"/>
        </w:rPr>
        <w:t>):</w:t>
      </w:r>
      <w:r w:rsidRPr="0031359C">
        <w:rPr>
          <w:rStyle w:val="highlight2"/>
          <w:rFonts w:ascii="Arial" w:hAnsi="Arial" w:cs="Arial"/>
          <w:sz w:val="20"/>
          <w:szCs w:val="20"/>
        </w:rPr>
        <w:t>909-12</w:t>
      </w:r>
      <w:r w:rsidRPr="0031359C">
        <w:rPr>
          <w:rFonts w:ascii="Arial" w:hAnsi="Arial" w:cs="Arial"/>
          <w:sz w:val="20"/>
          <w:szCs w:val="20"/>
        </w:rPr>
        <w:t>.</w:t>
      </w:r>
    </w:p>
    <w:p w:rsidR="00C220C6" w:rsidRPr="0031359C" w:rsidRDefault="00C220C6" w:rsidP="00C220C6">
      <w:pPr>
        <w:pStyle w:val="ListParagraph"/>
        <w:numPr>
          <w:ilvl w:val="0"/>
          <w:numId w:val="1"/>
        </w:numPr>
        <w:shd w:val="clear" w:color="auto" w:fill="FFFFFF"/>
        <w:spacing w:after="0" w:line="240" w:lineRule="auto"/>
        <w:ind w:right="2"/>
        <w:rPr>
          <w:rFonts w:ascii="Arial" w:hAnsi="Arial" w:cs="Arial"/>
          <w:sz w:val="20"/>
          <w:szCs w:val="20"/>
        </w:rPr>
      </w:pPr>
      <w:r w:rsidRPr="0031359C">
        <w:rPr>
          <w:rFonts w:ascii="Arial" w:hAnsi="Arial" w:cs="Arial"/>
          <w:sz w:val="20"/>
          <w:szCs w:val="20"/>
        </w:rPr>
        <w:t xml:space="preserve">Elliott RA. Reducing medication regimen complexity for older patients prior to discharge from hospital: feasibility and barriers. </w:t>
      </w:r>
      <w:hyperlink r:id="rId37" w:tooltip="Journal of clinical pharmacy and therapeutics." w:history="1">
        <w:r w:rsidRPr="0031359C">
          <w:rPr>
            <w:rStyle w:val="highlight2"/>
            <w:rFonts w:ascii="Arial" w:hAnsi="Arial" w:cs="Arial"/>
            <w:sz w:val="20"/>
            <w:szCs w:val="20"/>
          </w:rPr>
          <w:t>J Clin Pharm Ther</w:t>
        </w:r>
        <w:r w:rsidRPr="0031359C">
          <w:rPr>
            <w:rFonts w:ascii="Arial" w:hAnsi="Arial" w:cs="Arial"/>
            <w:sz w:val="20"/>
            <w:szCs w:val="20"/>
          </w:rPr>
          <w:t>.</w:t>
        </w:r>
      </w:hyperlink>
      <w:r w:rsidRPr="0031359C">
        <w:rPr>
          <w:rFonts w:ascii="Arial" w:hAnsi="Arial" w:cs="Arial"/>
          <w:sz w:val="20"/>
          <w:szCs w:val="20"/>
        </w:rPr>
        <w:t xml:space="preserve"> </w:t>
      </w:r>
      <w:r w:rsidRPr="0031359C">
        <w:rPr>
          <w:rStyle w:val="highlight2"/>
          <w:rFonts w:ascii="Arial" w:hAnsi="Arial" w:cs="Arial"/>
          <w:sz w:val="20"/>
          <w:szCs w:val="20"/>
        </w:rPr>
        <w:t>2012</w:t>
      </w:r>
      <w:r w:rsidRPr="0031359C">
        <w:rPr>
          <w:rFonts w:ascii="Arial" w:hAnsi="Arial" w:cs="Arial"/>
          <w:sz w:val="20"/>
          <w:szCs w:val="20"/>
        </w:rPr>
        <w:t xml:space="preserve"> Dec;</w:t>
      </w:r>
      <w:r w:rsidRPr="0031359C">
        <w:rPr>
          <w:rStyle w:val="highlight2"/>
          <w:rFonts w:ascii="Arial" w:hAnsi="Arial" w:cs="Arial"/>
          <w:sz w:val="20"/>
          <w:szCs w:val="20"/>
        </w:rPr>
        <w:t>37</w:t>
      </w:r>
      <w:r w:rsidRPr="0031359C">
        <w:rPr>
          <w:rFonts w:ascii="Arial" w:hAnsi="Arial" w:cs="Arial"/>
          <w:sz w:val="20"/>
          <w:szCs w:val="20"/>
        </w:rPr>
        <w:t>(</w:t>
      </w:r>
      <w:r w:rsidRPr="0031359C">
        <w:rPr>
          <w:rStyle w:val="highlight2"/>
          <w:rFonts w:ascii="Arial" w:hAnsi="Arial" w:cs="Arial"/>
          <w:sz w:val="20"/>
          <w:szCs w:val="20"/>
        </w:rPr>
        <w:t>6</w:t>
      </w:r>
      <w:r w:rsidRPr="0031359C">
        <w:rPr>
          <w:rFonts w:ascii="Arial" w:hAnsi="Arial" w:cs="Arial"/>
          <w:sz w:val="20"/>
          <w:szCs w:val="20"/>
        </w:rPr>
        <w:t>):</w:t>
      </w:r>
      <w:r w:rsidRPr="0031359C">
        <w:rPr>
          <w:rStyle w:val="highlight2"/>
          <w:rFonts w:ascii="Arial" w:hAnsi="Arial" w:cs="Arial"/>
          <w:sz w:val="20"/>
          <w:szCs w:val="20"/>
        </w:rPr>
        <w:t>637-42</w:t>
      </w:r>
      <w:r w:rsidRPr="0031359C">
        <w:rPr>
          <w:rFonts w:ascii="Arial" w:hAnsi="Arial" w:cs="Arial"/>
          <w:sz w:val="20"/>
          <w:szCs w:val="20"/>
        </w:rPr>
        <w:t xml:space="preserve">. </w:t>
      </w:r>
    </w:p>
    <w:p w:rsidR="00C220C6" w:rsidRPr="0031359C" w:rsidRDefault="00C220C6" w:rsidP="00C220C6">
      <w:pPr>
        <w:pStyle w:val="ListParagraph"/>
        <w:numPr>
          <w:ilvl w:val="0"/>
          <w:numId w:val="1"/>
        </w:numPr>
        <w:shd w:val="clear" w:color="auto" w:fill="FFFFFF"/>
        <w:spacing w:after="0" w:line="240" w:lineRule="auto"/>
        <w:ind w:right="2"/>
        <w:rPr>
          <w:rFonts w:ascii="Arial" w:hAnsi="Arial" w:cs="Arial"/>
          <w:sz w:val="20"/>
          <w:szCs w:val="20"/>
        </w:rPr>
      </w:pPr>
      <w:r w:rsidRPr="00680F54">
        <w:rPr>
          <w:rFonts w:ascii="Arial" w:hAnsi="Arial" w:cs="Arial"/>
          <w:sz w:val="20"/>
          <w:szCs w:val="20"/>
          <w:lang w:val="fr-FR"/>
        </w:rPr>
        <w:t xml:space="preserve">Scott IA, </w:t>
      </w:r>
      <w:hyperlink r:id="rId38" w:history="1">
        <w:r w:rsidRPr="00680F54">
          <w:rPr>
            <w:rFonts w:ascii="Arial" w:hAnsi="Arial" w:cs="Arial"/>
            <w:sz w:val="20"/>
            <w:szCs w:val="20"/>
            <w:lang w:val="fr-FR"/>
          </w:rPr>
          <w:t>Le Couteur DG</w:t>
        </w:r>
      </w:hyperlink>
      <w:r w:rsidRPr="00680F54">
        <w:rPr>
          <w:rFonts w:ascii="Arial" w:hAnsi="Arial" w:cs="Arial"/>
          <w:sz w:val="20"/>
          <w:szCs w:val="20"/>
          <w:lang w:val="fr-FR"/>
        </w:rPr>
        <w:t xml:space="preserve">. </w:t>
      </w:r>
      <w:r w:rsidRPr="0031359C">
        <w:rPr>
          <w:rFonts w:ascii="Arial" w:hAnsi="Arial" w:cs="Arial"/>
          <w:sz w:val="20"/>
          <w:szCs w:val="20"/>
        </w:rPr>
        <w:t xml:space="preserve">Physicians need to take the lead in deprescribing. </w:t>
      </w:r>
      <w:r w:rsidRPr="0031359C">
        <w:rPr>
          <w:rStyle w:val="highlight2"/>
          <w:rFonts w:ascii="Arial" w:hAnsi="Arial" w:cs="Arial"/>
          <w:sz w:val="20"/>
          <w:szCs w:val="20"/>
        </w:rPr>
        <w:t>Intern Med J</w:t>
      </w:r>
      <w:r w:rsidRPr="0031359C">
        <w:rPr>
          <w:rFonts w:ascii="Arial" w:hAnsi="Arial" w:cs="Arial"/>
          <w:sz w:val="20"/>
          <w:szCs w:val="20"/>
        </w:rPr>
        <w:t xml:space="preserve">. </w:t>
      </w:r>
      <w:r w:rsidRPr="0031359C">
        <w:rPr>
          <w:rStyle w:val="highlight2"/>
          <w:rFonts w:ascii="Arial" w:hAnsi="Arial" w:cs="Arial"/>
          <w:sz w:val="20"/>
          <w:szCs w:val="20"/>
        </w:rPr>
        <w:t>2015</w:t>
      </w:r>
      <w:r w:rsidRPr="0031359C">
        <w:rPr>
          <w:rFonts w:ascii="Arial" w:hAnsi="Arial" w:cs="Arial"/>
          <w:sz w:val="20"/>
          <w:szCs w:val="20"/>
        </w:rPr>
        <w:t xml:space="preserve"> Mar;</w:t>
      </w:r>
      <w:r w:rsidRPr="0031359C">
        <w:rPr>
          <w:rStyle w:val="highlight2"/>
          <w:rFonts w:ascii="Arial" w:hAnsi="Arial" w:cs="Arial"/>
          <w:sz w:val="20"/>
          <w:szCs w:val="20"/>
        </w:rPr>
        <w:t>45</w:t>
      </w:r>
      <w:r w:rsidRPr="0031359C">
        <w:rPr>
          <w:rFonts w:ascii="Arial" w:hAnsi="Arial" w:cs="Arial"/>
          <w:sz w:val="20"/>
          <w:szCs w:val="20"/>
        </w:rPr>
        <w:t>(</w:t>
      </w:r>
      <w:r w:rsidRPr="0031359C">
        <w:rPr>
          <w:rStyle w:val="highlight2"/>
          <w:rFonts w:ascii="Arial" w:hAnsi="Arial" w:cs="Arial"/>
          <w:sz w:val="20"/>
          <w:szCs w:val="20"/>
        </w:rPr>
        <w:t>3</w:t>
      </w:r>
      <w:r w:rsidRPr="0031359C">
        <w:rPr>
          <w:rFonts w:ascii="Arial" w:hAnsi="Arial" w:cs="Arial"/>
          <w:sz w:val="20"/>
          <w:szCs w:val="20"/>
        </w:rPr>
        <w:t>):</w:t>
      </w:r>
      <w:r w:rsidRPr="0031359C">
        <w:rPr>
          <w:rStyle w:val="highlight2"/>
          <w:rFonts w:ascii="Arial" w:hAnsi="Arial" w:cs="Arial"/>
          <w:sz w:val="20"/>
          <w:szCs w:val="20"/>
        </w:rPr>
        <w:t>352-6</w:t>
      </w:r>
      <w:r w:rsidRPr="0031359C">
        <w:rPr>
          <w:rFonts w:ascii="Arial" w:hAnsi="Arial" w:cs="Arial"/>
          <w:sz w:val="20"/>
          <w:szCs w:val="20"/>
        </w:rPr>
        <w:t xml:space="preserve">. </w:t>
      </w:r>
    </w:p>
    <w:p w:rsidR="00C220C6" w:rsidRPr="0031359C" w:rsidRDefault="00C220C6" w:rsidP="00C220C6">
      <w:pPr>
        <w:pStyle w:val="ListParagraph"/>
        <w:numPr>
          <w:ilvl w:val="0"/>
          <w:numId w:val="1"/>
        </w:numPr>
        <w:shd w:val="clear" w:color="auto" w:fill="FFFFFF"/>
        <w:spacing w:after="0" w:line="240" w:lineRule="auto"/>
        <w:ind w:right="2"/>
        <w:rPr>
          <w:rFonts w:ascii="Arial" w:hAnsi="Arial" w:cs="Arial"/>
          <w:sz w:val="20"/>
          <w:szCs w:val="20"/>
        </w:rPr>
      </w:pPr>
      <w:r w:rsidRPr="0031359C">
        <w:rPr>
          <w:rFonts w:ascii="Arial" w:hAnsi="Arial" w:cs="Arial"/>
          <w:sz w:val="20"/>
          <w:szCs w:val="20"/>
        </w:rPr>
        <w:t xml:space="preserve">Reeve E, Shakib S, Hendrix I, Roberts MS, Wiese MD. Review of deprescribing processes and development of an evidence-based, patient-centred deprescribing process. </w:t>
      </w:r>
      <w:hyperlink r:id="rId39" w:tooltip="British journal of clinical pharmacology." w:history="1">
        <w:r w:rsidRPr="0031359C">
          <w:rPr>
            <w:rStyle w:val="highlight2"/>
            <w:rFonts w:ascii="Arial" w:hAnsi="Arial" w:cs="Arial"/>
            <w:sz w:val="20"/>
            <w:szCs w:val="20"/>
          </w:rPr>
          <w:t>Br J Clin Pharmacol</w:t>
        </w:r>
        <w:r w:rsidRPr="0031359C">
          <w:rPr>
            <w:rFonts w:ascii="Arial" w:hAnsi="Arial" w:cs="Arial"/>
            <w:sz w:val="20"/>
            <w:szCs w:val="20"/>
          </w:rPr>
          <w:t>.</w:t>
        </w:r>
      </w:hyperlink>
      <w:r w:rsidRPr="0031359C">
        <w:rPr>
          <w:rFonts w:ascii="Arial" w:hAnsi="Arial" w:cs="Arial"/>
          <w:sz w:val="20"/>
          <w:szCs w:val="20"/>
        </w:rPr>
        <w:t xml:space="preserve"> </w:t>
      </w:r>
      <w:r w:rsidRPr="0031359C">
        <w:rPr>
          <w:rStyle w:val="highlight2"/>
          <w:rFonts w:ascii="Arial" w:hAnsi="Arial" w:cs="Arial"/>
          <w:sz w:val="20"/>
          <w:szCs w:val="20"/>
        </w:rPr>
        <w:t>2014</w:t>
      </w:r>
      <w:r w:rsidRPr="0031359C">
        <w:rPr>
          <w:rFonts w:ascii="Arial" w:hAnsi="Arial" w:cs="Arial"/>
          <w:sz w:val="20"/>
          <w:szCs w:val="20"/>
        </w:rPr>
        <w:t xml:space="preserve"> Oct;</w:t>
      </w:r>
      <w:r w:rsidRPr="0031359C">
        <w:rPr>
          <w:rStyle w:val="highlight2"/>
          <w:rFonts w:ascii="Arial" w:hAnsi="Arial" w:cs="Arial"/>
          <w:sz w:val="20"/>
          <w:szCs w:val="20"/>
        </w:rPr>
        <w:t>78</w:t>
      </w:r>
      <w:r w:rsidRPr="0031359C">
        <w:rPr>
          <w:rFonts w:ascii="Arial" w:hAnsi="Arial" w:cs="Arial"/>
          <w:sz w:val="20"/>
          <w:szCs w:val="20"/>
        </w:rPr>
        <w:t>(</w:t>
      </w:r>
      <w:r w:rsidRPr="0031359C">
        <w:rPr>
          <w:rStyle w:val="highlight2"/>
          <w:rFonts w:ascii="Arial" w:hAnsi="Arial" w:cs="Arial"/>
          <w:sz w:val="20"/>
          <w:szCs w:val="20"/>
        </w:rPr>
        <w:t>4</w:t>
      </w:r>
      <w:r w:rsidRPr="0031359C">
        <w:rPr>
          <w:rFonts w:ascii="Arial" w:hAnsi="Arial" w:cs="Arial"/>
          <w:sz w:val="20"/>
          <w:szCs w:val="20"/>
        </w:rPr>
        <w:t xml:space="preserve">):738-47. </w:t>
      </w:r>
    </w:p>
    <w:p w:rsidR="00C220C6" w:rsidRPr="0031359C" w:rsidRDefault="00C220C6" w:rsidP="00C220C6">
      <w:pPr>
        <w:pStyle w:val="ListParagraph"/>
        <w:numPr>
          <w:ilvl w:val="0"/>
          <w:numId w:val="1"/>
        </w:numPr>
        <w:shd w:val="clear" w:color="auto" w:fill="FFFFFF"/>
        <w:spacing w:after="0" w:line="240" w:lineRule="auto"/>
        <w:ind w:right="2"/>
        <w:rPr>
          <w:rFonts w:ascii="Arial" w:hAnsi="Arial" w:cs="Arial"/>
          <w:sz w:val="20"/>
          <w:szCs w:val="20"/>
        </w:rPr>
      </w:pPr>
      <w:r w:rsidRPr="0031359C">
        <w:rPr>
          <w:rFonts w:ascii="Arial" w:hAnsi="Arial" w:cs="Arial"/>
          <w:sz w:val="20"/>
          <w:szCs w:val="20"/>
        </w:rPr>
        <w:t xml:space="preserve">Handler SM, Wright RM, Ruby CM, Hanlon JT. Epidemiology of medication-related adverse events in nursing homes. </w:t>
      </w:r>
      <w:r w:rsidRPr="0031359C">
        <w:rPr>
          <w:rStyle w:val="highlight2"/>
          <w:rFonts w:ascii="Arial" w:hAnsi="Arial" w:cs="Arial"/>
          <w:sz w:val="20"/>
          <w:szCs w:val="20"/>
        </w:rPr>
        <w:t>Am J Geriatr Pharmacother</w:t>
      </w:r>
      <w:r w:rsidRPr="0031359C">
        <w:rPr>
          <w:rFonts w:ascii="Arial" w:hAnsi="Arial" w:cs="Arial"/>
          <w:sz w:val="20"/>
          <w:szCs w:val="20"/>
        </w:rPr>
        <w:t xml:space="preserve">. </w:t>
      </w:r>
      <w:r w:rsidRPr="0031359C">
        <w:rPr>
          <w:rStyle w:val="highlight2"/>
          <w:rFonts w:ascii="Arial" w:hAnsi="Arial" w:cs="Arial"/>
          <w:sz w:val="20"/>
          <w:szCs w:val="20"/>
        </w:rPr>
        <w:t>2006</w:t>
      </w:r>
      <w:r w:rsidRPr="0031359C">
        <w:rPr>
          <w:rFonts w:ascii="Arial" w:hAnsi="Arial" w:cs="Arial"/>
          <w:sz w:val="20"/>
          <w:szCs w:val="20"/>
        </w:rPr>
        <w:t xml:space="preserve"> Sep;</w:t>
      </w:r>
      <w:r w:rsidRPr="0031359C">
        <w:rPr>
          <w:rStyle w:val="highlight2"/>
          <w:rFonts w:ascii="Arial" w:hAnsi="Arial" w:cs="Arial"/>
          <w:sz w:val="20"/>
          <w:szCs w:val="20"/>
        </w:rPr>
        <w:t>4</w:t>
      </w:r>
      <w:r w:rsidRPr="0031359C">
        <w:rPr>
          <w:rFonts w:ascii="Arial" w:hAnsi="Arial" w:cs="Arial"/>
          <w:sz w:val="20"/>
          <w:szCs w:val="20"/>
        </w:rPr>
        <w:t>(</w:t>
      </w:r>
      <w:r w:rsidRPr="0031359C">
        <w:rPr>
          <w:rStyle w:val="highlight2"/>
          <w:rFonts w:ascii="Arial" w:hAnsi="Arial" w:cs="Arial"/>
          <w:sz w:val="20"/>
          <w:szCs w:val="20"/>
        </w:rPr>
        <w:t>3</w:t>
      </w:r>
      <w:r w:rsidRPr="0031359C">
        <w:rPr>
          <w:rFonts w:ascii="Arial" w:hAnsi="Arial" w:cs="Arial"/>
          <w:sz w:val="20"/>
          <w:szCs w:val="20"/>
        </w:rPr>
        <w:t>):</w:t>
      </w:r>
      <w:r w:rsidRPr="0031359C">
        <w:rPr>
          <w:rStyle w:val="highlight2"/>
          <w:rFonts w:ascii="Arial" w:hAnsi="Arial" w:cs="Arial"/>
          <w:sz w:val="20"/>
          <w:szCs w:val="20"/>
        </w:rPr>
        <w:t>264-72</w:t>
      </w:r>
      <w:r w:rsidRPr="0031359C">
        <w:rPr>
          <w:rFonts w:ascii="Arial" w:hAnsi="Arial" w:cs="Arial"/>
          <w:sz w:val="20"/>
          <w:szCs w:val="20"/>
        </w:rPr>
        <w:t xml:space="preserve">. </w:t>
      </w:r>
    </w:p>
    <w:p w:rsidR="00C220C6" w:rsidRPr="0031359C" w:rsidRDefault="00C220C6" w:rsidP="00C220C6">
      <w:pPr>
        <w:pStyle w:val="ListParagraph"/>
        <w:numPr>
          <w:ilvl w:val="0"/>
          <w:numId w:val="1"/>
        </w:numPr>
        <w:shd w:val="clear" w:color="auto" w:fill="FFFFFF"/>
        <w:spacing w:before="120" w:after="360" w:line="240" w:lineRule="auto"/>
        <w:ind w:right="2"/>
        <w:rPr>
          <w:rFonts w:ascii="Arial" w:hAnsi="Arial" w:cs="Arial"/>
          <w:sz w:val="20"/>
          <w:szCs w:val="20"/>
        </w:rPr>
      </w:pPr>
      <w:r w:rsidRPr="0031359C">
        <w:rPr>
          <w:rFonts w:ascii="Arial" w:hAnsi="Arial" w:cs="Arial"/>
          <w:sz w:val="20"/>
          <w:szCs w:val="20"/>
        </w:rPr>
        <w:t xml:space="preserve">Holmes HM. Rational prescribing for patients with a reduced life expectancy. </w:t>
      </w:r>
      <w:r w:rsidRPr="0031359C">
        <w:rPr>
          <w:rStyle w:val="highlight2"/>
          <w:rFonts w:ascii="Arial" w:hAnsi="Arial" w:cs="Arial"/>
          <w:sz w:val="20"/>
          <w:szCs w:val="20"/>
        </w:rPr>
        <w:t>Clin Pharmacol Ther</w:t>
      </w:r>
      <w:r w:rsidRPr="0031359C">
        <w:rPr>
          <w:rFonts w:ascii="Arial" w:hAnsi="Arial" w:cs="Arial"/>
          <w:sz w:val="20"/>
          <w:szCs w:val="20"/>
        </w:rPr>
        <w:t xml:space="preserve">. </w:t>
      </w:r>
      <w:r w:rsidRPr="0031359C">
        <w:rPr>
          <w:rStyle w:val="highlight2"/>
          <w:rFonts w:ascii="Arial" w:hAnsi="Arial" w:cs="Arial"/>
          <w:sz w:val="20"/>
          <w:szCs w:val="20"/>
        </w:rPr>
        <w:t>2009</w:t>
      </w:r>
      <w:r w:rsidRPr="0031359C">
        <w:rPr>
          <w:rFonts w:ascii="Arial" w:hAnsi="Arial" w:cs="Arial"/>
          <w:sz w:val="20"/>
          <w:szCs w:val="20"/>
        </w:rPr>
        <w:t xml:space="preserve"> Jan;</w:t>
      </w:r>
      <w:r w:rsidRPr="0031359C">
        <w:rPr>
          <w:rStyle w:val="highlight2"/>
          <w:rFonts w:ascii="Arial" w:hAnsi="Arial" w:cs="Arial"/>
          <w:sz w:val="20"/>
          <w:szCs w:val="20"/>
        </w:rPr>
        <w:t>85</w:t>
      </w:r>
      <w:r w:rsidRPr="0031359C">
        <w:rPr>
          <w:rFonts w:ascii="Arial" w:hAnsi="Arial" w:cs="Arial"/>
          <w:sz w:val="20"/>
          <w:szCs w:val="20"/>
        </w:rPr>
        <w:t>(</w:t>
      </w:r>
      <w:r w:rsidRPr="0031359C">
        <w:rPr>
          <w:rStyle w:val="highlight2"/>
          <w:rFonts w:ascii="Arial" w:hAnsi="Arial" w:cs="Arial"/>
          <w:sz w:val="20"/>
          <w:szCs w:val="20"/>
        </w:rPr>
        <w:t>1</w:t>
      </w:r>
      <w:r w:rsidRPr="0031359C">
        <w:rPr>
          <w:rFonts w:ascii="Arial" w:hAnsi="Arial" w:cs="Arial"/>
          <w:sz w:val="20"/>
          <w:szCs w:val="20"/>
        </w:rPr>
        <w:t>):</w:t>
      </w:r>
      <w:r w:rsidRPr="0031359C">
        <w:rPr>
          <w:rStyle w:val="highlight2"/>
          <w:rFonts w:ascii="Arial" w:hAnsi="Arial" w:cs="Arial"/>
          <w:sz w:val="20"/>
          <w:szCs w:val="20"/>
        </w:rPr>
        <w:t>103-7</w:t>
      </w:r>
      <w:r w:rsidRPr="0031359C">
        <w:rPr>
          <w:rFonts w:ascii="Arial" w:hAnsi="Arial" w:cs="Arial"/>
          <w:sz w:val="20"/>
          <w:szCs w:val="20"/>
        </w:rPr>
        <w:t>.</w:t>
      </w:r>
    </w:p>
    <w:p w:rsidR="00C220C6" w:rsidRDefault="00657879" w:rsidP="00C220C6">
      <w:pPr>
        <w:pStyle w:val="ListParagraph"/>
        <w:numPr>
          <w:ilvl w:val="0"/>
          <w:numId w:val="1"/>
        </w:numPr>
        <w:shd w:val="clear" w:color="auto" w:fill="FFFFFF"/>
        <w:spacing w:before="120" w:after="360" w:line="240" w:lineRule="auto"/>
        <w:ind w:right="2"/>
        <w:rPr>
          <w:rFonts w:ascii="Arial" w:hAnsi="Arial" w:cs="Arial"/>
          <w:sz w:val="20"/>
          <w:szCs w:val="20"/>
        </w:rPr>
      </w:pPr>
      <w:hyperlink r:id="rId40" w:history="1">
        <w:r w:rsidR="00C220C6" w:rsidRPr="0031359C">
          <w:rPr>
            <w:rFonts w:ascii="Arial" w:hAnsi="Arial" w:cs="Arial"/>
            <w:sz w:val="20"/>
            <w:szCs w:val="20"/>
          </w:rPr>
          <w:t>Holmes HM</w:t>
        </w:r>
      </w:hyperlink>
      <w:r w:rsidR="00C220C6" w:rsidRPr="0031359C">
        <w:rPr>
          <w:rFonts w:ascii="Arial" w:hAnsi="Arial" w:cs="Arial"/>
          <w:sz w:val="20"/>
          <w:szCs w:val="20"/>
        </w:rPr>
        <w:t xml:space="preserve">, </w:t>
      </w:r>
      <w:hyperlink r:id="rId41" w:history="1">
        <w:r w:rsidR="00C220C6" w:rsidRPr="0031359C">
          <w:rPr>
            <w:rFonts w:ascii="Arial" w:hAnsi="Arial" w:cs="Arial"/>
            <w:sz w:val="20"/>
            <w:szCs w:val="20"/>
          </w:rPr>
          <w:t>Min LC</w:t>
        </w:r>
      </w:hyperlink>
      <w:r w:rsidR="00C220C6" w:rsidRPr="0031359C">
        <w:rPr>
          <w:rFonts w:ascii="Arial" w:hAnsi="Arial" w:cs="Arial"/>
          <w:sz w:val="20"/>
          <w:szCs w:val="20"/>
        </w:rPr>
        <w:t xml:space="preserve">, </w:t>
      </w:r>
      <w:hyperlink r:id="rId42" w:history="1">
        <w:r w:rsidR="00C220C6" w:rsidRPr="0031359C">
          <w:rPr>
            <w:rFonts w:ascii="Arial" w:hAnsi="Arial" w:cs="Arial"/>
            <w:sz w:val="20"/>
            <w:szCs w:val="20"/>
          </w:rPr>
          <w:t>Yee M</w:t>
        </w:r>
      </w:hyperlink>
      <w:r w:rsidR="00C220C6" w:rsidRPr="0031359C">
        <w:rPr>
          <w:rFonts w:ascii="Arial" w:hAnsi="Arial" w:cs="Arial"/>
          <w:sz w:val="20"/>
          <w:szCs w:val="20"/>
        </w:rPr>
        <w:t xml:space="preserve">, </w:t>
      </w:r>
      <w:hyperlink r:id="rId43" w:history="1">
        <w:r w:rsidR="00C220C6" w:rsidRPr="0031359C">
          <w:rPr>
            <w:rFonts w:ascii="Arial" w:hAnsi="Arial" w:cs="Arial"/>
            <w:sz w:val="20"/>
            <w:szCs w:val="20"/>
          </w:rPr>
          <w:t>Varadhan R</w:t>
        </w:r>
      </w:hyperlink>
      <w:r w:rsidR="00C220C6" w:rsidRPr="0031359C">
        <w:rPr>
          <w:rFonts w:ascii="Arial" w:hAnsi="Arial" w:cs="Arial"/>
          <w:sz w:val="20"/>
          <w:szCs w:val="20"/>
        </w:rPr>
        <w:t xml:space="preserve">, </w:t>
      </w:r>
      <w:hyperlink r:id="rId44" w:history="1">
        <w:r w:rsidR="00C220C6" w:rsidRPr="0031359C">
          <w:rPr>
            <w:rFonts w:ascii="Arial" w:hAnsi="Arial" w:cs="Arial"/>
            <w:sz w:val="20"/>
            <w:szCs w:val="20"/>
          </w:rPr>
          <w:t>Basran J</w:t>
        </w:r>
      </w:hyperlink>
      <w:r w:rsidR="00C220C6" w:rsidRPr="0031359C">
        <w:rPr>
          <w:rFonts w:ascii="Arial" w:hAnsi="Arial" w:cs="Arial"/>
          <w:sz w:val="20"/>
          <w:szCs w:val="20"/>
        </w:rPr>
        <w:t xml:space="preserve">, </w:t>
      </w:r>
      <w:hyperlink r:id="rId45" w:history="1">
        <w:r w:rsidR="00C220C6" w:rsidRPr="0031359C">
          <w:rPr>
            <w:rFonts w:ascii="Arial" w:hAnsi="Arial" w:cs="Arial"/>
            <w:sz w:val="20"/>
            <w:szCs w:val="20"/>
          </w:rPr>
          <w:t>Dale W</w:t>
        </w:r>
      </w:hyperlink>
      <w:r w:rsidR="00C220C6" w:rsidRPr="0031359C">
        <w:rPr>
          <w:rFonts w:ascii="Arial" w:hAnsi="Arial" w:cs="Arial"/>
          <w:sz w:val="20"/>
          <w:szCs w:val="20"/>
        </w:rPr>
        <w:t xml:space="preserve">, </w:t>
      </w:r>
      <w:hyperlink r:id="rId46" w:history="1">
        <w:r w:rsidR="00C220C6" w:rsidRPr="0031359C">
          <w:rPr>
            <w:rFonts w:ascii="Arial" w:hAnsi="Arial" w:cs="Arial"/>
            <w:sz w:val="20"/>
            <w:szCs w:val="20"/>
          </w:rPr>
          <w:t>Boyd CM</w:t>
        </w:r>
      </w:hyperlink>
      <w:r w:rsidR="00C220C6" w:rsidRPr="0031359C">
        <w:rPr>
          <w:rFonts w:ascii="Arial" w:hAnsi="Arial" w:cs="Arial"/>
          <w:sz w:val="20"/>
          <w:szCs w:val="20"/>
        </w:rPr>
        <w:t xml:space="preserve">. Rationalizing prescribing for older patients with multimorbidity: considering time to benefit. </w:t>
      </w:r>
      <w:hyperlink r:id="rId47" w:tooltip="Drugs &amp; aging." w:history="1">
        <w:r w:rsidR="00C220C6" w:rsidRPr="0031359C">
          <w:rPr>
            <w:rStyle w:val="highlight2"/>
            <w:rFonts w:ascii="Arial" w:hAnsi="Arial" w:cs="Arial"/>
            <w:sz w:val="20"/>
            <w:szCs w:val="20"/>
          </w:rPr>
          <w:t>Drugs Aging</w:t>
        </w:r>
        <w:r w:rsidR="00C220C6" w:rsidRPr="0031359C">
          <w:rPr>
            <w:rFonts w:ascii="Arial" w:hAnsi="Arial" w:cs="Arial"/>
            <w:sz w:val="20"/>
            <w:szCs w:val="20"/>
          </w:rPr>
          <w:t>.</w:t>
        </w:r>
      </w:hyperlink>
      <w:r w:rsidR="00C220C6" w:rsidRPr="0031359C">
        <w:rPr>
          <w:rFonts w:ascii="Arial" w:hAnsi="Arial" w:cs="Arial"/>
          <w:sz w:val="20"/>
          <w:szCs w:val="20"/>
        </w:rPr>
        <w:t xml:space="preserve"> </w:t>
      </w:r>
      <w:r w:rsidR="00C220C6" w:rsidRPr="0031359C">
        <w:rPr>
          <w:rStyle w:val="highlight2"/>
          <w:rFonts w:ascii="Arial" w:hAnsi="Arial" w:cs="Arial"/>
          <w:sz w:val="20"/>
          <w:szCs w:val="20"/>
        </w:rPr>
        <w:t>2013</w:t>
      </w:r>
      <w:r w:rsidR="00C220C6" w:rsidRPr="0031359C">
        <w:rPr>
          <w:rFonts w:ascii="Arial" w:hAnsi="Arial" w:cs="Arial"/>
          <w:sz w:val="20"/>
          <w:szCs w:val="20"/>
        </w:rPr>
        <w:t xml:space="preserve"> Sep;</w:t>
      </w:r>
      <w:r w:rsidR="00C220C6" w:rsidRPr="0031359C">
        <w:rPr>
          <w:rStyle w:val="highlight2"/>
          <w:rFonts w:ascii="Arial" w:hAnsi="Arial" w:cs="Arial"/>
          <w:sz w:val="20"/>
          <w:szCs w:val="20"/>
        </w:rPr>
        <w:t>30</w:t>
      </w:r>
      <w:r w:rsidR="00C220C6" w:rsidRPr="0031359C">
        <w:rPr>
          <w:rFonts w:ascii="Arial" w:hAnsi="Arial" w:cs="Arial"/>
          <w:sz w:val="20"/>
          <w:szCs w:val="20"/>
        </w:rPr>
        <w:t>(</w:t>
      </w:r>
      <w:r w:rsidR="00C220C6" w:rsidRPr="0031359C">
        <w:rPr>
          <w:rStyle w:val="highlight2"/>
          <w:rFonts w:ascii="Arial" w:hAnsi="Arial" w:cs="Arial"/>
          <w:sz w:val="20"/>
          <w:szCs w:val="20"/>
        </w:rPr>
        <w:t>9</w:t>
      </w:r>
      <w:r w:rsidR="00C220C6" w:rsidRPr="0031359C">
        <w:rPr>
          <w:rFonts w:ascii="Arial" w:hAnsi="Arial" w:cs="Arial"/>
          <w:sz w:val="20"/>
          <w:szCs w:val="20"/>
        </w:rPr>
        <w:t>):</w:t>
      </w:r>
      <w:r w:rsidR="00C220C6" w:rsidRPr="0031359C">
        <w:rPr>
          <w:rStyle w:val="highlight2"/>
          <w:rFonts w:ascii="Arial" w:hAnsi="Arial" w:cs="Arial"/>
          <w:sz w:val="20"/>
          <w:szCs w:val="20"/>
        </w:rPr>
        <w:t>655-66</w:t>
      </w:r>
      <w:r w:rsidR="00C220C6" w:rsidRPr="0031359C">
        <w:rPr>
          <w:rFonts w:ascii="Arial" w:hAnsi="Arial" w:cs="Arial"/>
          <w:sz w:val="20"/>
          <w:szCs w:val="20"/>
        </w:rPr>
        <w:t>.</w:t>
      </w:r>
    </w:p>
    <w:p w:rsidR="00C220C6" w:rsidRDefault="00C220C6" w:rsidP="00C220C6">
      <w:pPr>
        <w:shd w:val="clear" w:color="auto" w:fill="FFFFFF"/>
        <w:ind w:right="2"/>
        <w:rPr>
          <w:rFonts w:ascii="Arial" w:hAnsi="Arial" w:cs="Arial"/>
          <w:sz w:val="20"/>
          <w:szCs w:val="20"/>
        </w:rPr>
      </w:pPr>
      <w:r w:rsidRPr="0031359C">
        <w:rPr>
          <w:rFonts w:ascii="Arial" w:hAnsi="Arial" w:cs="Arial"/>
          <w:b/>
          <w:sz w:val="20"/>
          <w:szCs w:val="20"/>
        </w:rPr>
        <w:t>Author’s Affiliation</w:t>
      </w:r>
      <w:r>
        <w:rPr>
          <w:rFonts w:ascii="Arial" w:hAnsi="Arial" w:cs="Arial"/>
          <w:sz w:val="20"/>
          <w:szCs w:val="20"/>
        </w:rPr>
        <w:t>: University of Pittsburgh Medical Center</w:t>
      </w:r>
    </w:p>
    <w:p w:rsidR="00C220C6" w:rsidRPr="0031359C" w:rsidRDefault="00C220C6" w:rsidP="00C220C6">
      <w:pPr>
        <w:shd w:val="clear" w:color="auto" w:fill="FFFFFF"/>
        <w:ind w:right="2"/>
        <w:rPr>
          <w:rFonts w:ascii="Arial" w:hAnsi="Arial" w:cs="Arial"/>
          <w:sz w:val="20"/>
          <w:szCs w:val="20"/>
        </w:rPr>
      </w:pPr>
      <w:r w:rsidRPr="0031359C">
        <w:rPr>
          <w:rFonts w:ascii="Arial" w:hAnsi="Arial" w:cs="Arial"/>
          <w:b/>
          <w:sz w:val="20"/>
          <w:szCs w:val="20"/>
        </w:rPr>
        <w:t>Conflicts of Interest</w:t>
      </w:r>
      <w:r>
        <w:rPr>
          <w:rFonts w:ascii="Arial" w:hAnsi="Arial" w:cs="Arial"/>
          <w:sz w:val="20"/>
          <w:szCs w:val="20"/>
        </w:rPr>
        <w:t>: None</w:t>
      </w:r>
    </w:p>
    <w:p w:rsidR="003F7DF0" w:rsidRPr="00C220C6" w:rsidRDefault="00C220C6" w:rsidP="00647029">
      <w:pPr>
        <w:rPr>
          <w:rFonts w:ascii="Helvetica" w:hAnsi="Helvetica" w:cs="Helvetica"/>
          <w:bCs/>
          <w:iCs/>
          <w:sz w:val="20"/>
        </w:rPr>
      </w:pPr>
      <w:r>
        <w:rPr>
          <w:rFonts w:ascii="Helvetica" w:hAnsi="Helvetica" w:cs="Helvetica"/>
          <w:b/>
          <w:bCs/>
          <w:iCs/>
          <w:sz w:val="20"/>
        </w:rPr>
        <w:t xml:space="preserve">Version History:  </w:t>
      </w:r>
      <w:r>
        <w:rPr>
          <w:rFonts w:ascii="Helvetica" w:hAnsi="Helvetica" w:cs="Helvetica"/>
          <w:bCs/>
          <w:iCs/>
          <w:sz w:val="20"/>
        </w:rPr>
        <w:t xml:space="preserve">Originally edited by Sean Marks MD; first electronically published in September 2016.  </w:t>
      </w:r>
    </w:p>
    <w:p w:rsidR="00C220C6" w:rsidRPr="00C220C6" w:rsidRDefault="00C220C6" w:rsidP="00647029">
      <w:pPr>
        <w:rPr>
          <w:rFonts w:ascii="Helvetica" w:hAnsi="Helvetica" w:cs="Helvetica"/>
          <w:b/>
          <w:bCs/>
          <w:iCs/>
          <w:sz w:val="20"/>
        </w:rPr>
      </w:pPr>
    </w:p>
    <w:p w:rsidR="00647029" w:rsidRDefault="00647029" w:rsidP="00647029">
      <w:pPr>
        <w:rPr>
          <w:rFonts w:ascii="Helvetica" w:hAnsi="Helvetica" w:cs="Helvetica"/>
          <w:i/>
          <w:iCs/>
          <w:sz w:val="20"/>
        </w:rPr>
      </w:pPr>
      <w:r>
        <w:rPr>
          <w:rFonts w:ascii="Helvetica" w:hAnsi="Helvetica" w:cs="Helvetica"/>
          <w:b/>
          <w:bCs/>
          <w:i/>
          <w:iCs/>
          <w:sz w:val="20"/>
        </w:rPr>
        <w:t>Fast Facts and Concepts</w:t>
      </w:r>
      <w:r>
        <w:rPr>
          <w:rFonts w:ascii="Helvetica" w:hAnsi="Helvetica" w:cs="Helvetica"/>
          <w:b/>
          <w:bCs/>
          <w:sz w:val="20"/>
        </w:rPr>
        <w:t xml:space="preserve"> </w:t>
      </w:r>
      <w:r>
        <w:rPr>
          <w:rFonts w:ascii="Helvetica" w:hAnsi="Helvetica" w:cs="Helvetica"/>
          <w:sz w:val="20"/>
        </w:rPr>
        <w:t xml:space="preserve">are edited by Sean Marks MD (Medical College of Wisconsin) and associate editor Drew A Rosielle MD (University of Minnesota Medical School), with the generous support of a volunteer peer-review editorial board, and are made available online by the </w:t>
      </w:r>
      <w:hyperlink r:id="rId48" w:history="1">
        <w:r>
          <w:rPr>
            <w:rStyle w:val="Hyperlink"/>
            <w:rFonts w:ascii="Helvetica" w:hAnsi="Helvetica" w:cs="Helvetica"/>
            <w:color w:val="386EFF"/>
            <w:sz w:val="20"/>
          </w:rPr>
          <w:t xml:space="preserve">Palliative Care Network of </w:t>
        </w:r>
        <w:r>
          <w:rPr>
            <w:rStyle w:val="Hyperlink"/>
            <w:rFonts w:ascii="Helvetica" w:hAnsi="Helvetica" w:cs="Helvetica"/>
            <w:color w:val="386EFF"/>
            <w:sz w:val="20"/>
          </w:rPr>
          <w:lastRenderedPageBreak/>
          <w:t>Wisconsin</w:t>
        </w:r>
      </w:hyperlink>
      <w:r>
        <w:rPr>
          <w:rFonts w:ascii="Helvetica" w:hAnsi="Helvetica" w:cs="Helvetica"/>
          <w:sz w:val="20"/>
        </w:rPr>
        <w:t xml:space="preserve"> (PCNOW); the authors of each individual </w:t>
      </w:r>
      <w:r>
        <w:rPr>
          <w:rFonts w:ascii="Helvetica" w:hAnsi="Helvetica" w:cs="Helvetica"/>
          <w:i/>
          <w:iCs/>
          <w:sz w:val="20"/>
        </w:rPr>
        <w:t xml:space="preserve">Fast Fact </w:t>
      </w:r>
      <w:r>
        <w:rPr>
          <w:rFonts w:ascii="Helvetica" w:hAnsi="Helvetica" w:cs="Helvetica"/>
          <w:sz w:val="20"/>
        </w:rPr>
        <w:t xml:space="preserve">are solely responsible for that </w:t>
      </w:r>
      <w:r>
        <w:rPr>
          <w:rFonts w:ascii="Helvetica" w:hAnsi="Helvetica" w:cs="Helvetica"/>
          <w:i/>
          <w:iCs/>
          <w:sz w:val="20"/>
        </w:rPr>
        <w:t>Fast Fact’s</w:t>
      </w:r>
      <w:r>
        <w:rPr>
          <w:rFonts w:ascii="Helvetica" w:hAnsi="Helvetica" w:cs="Helvetica"/>
          <w:sz w:val="20"/>
        </w:rPr>
        <w:t xml:space="preserve"> content. The full set of </w:t>
      </w:r>
      <w:r>
        <w:rPr>
          <w:rFonts w:ascii="Helvetica" w:hAnsi="Helvetica" w:cs="Helvetica"/>
          <w:i/>
          <w:iCs/>
          <w:sz w:val="20"/>
        </w:rPr>
        <w:t xml:space="preserve">Fast Facts </w:t>
      </w:r>
      <w:r>
        <w:rPr>
          <w:rFonts w:ascii="Helvetica" w:hAnsi="Helvetica" w:cs="Helvetica"/>
          <w:sz w:val="20"/>
        </w:rPr>
        <w:t xml:space="preserve">are available at </w:t>
      </w:r>
      <w:hyperlink r:id="rId49" w:history="1">
        <w:r>
          <w:rPr>
            <w:rStyle w:val="Hyperlink"/>
            <w:rFonts w:ascii="Helvetica" w:hAnsi="Helvetica" w:cs="Helvetica"/>
            <w:color w:val="386EFF"/>
            <w:sz w:val="20"/>
          </w:rPr>
          <w:t>Palliative Care Network of Wisconsin</w:t>
        </w:r>
      </w:hyperlink>
      <w:r>
        <w:rPr>
          <w:rFonts w:ascii="Helvetica" w:hAnsi="Helvetica" w:cs="Helvetica"/>
          <w:sz w:val="20"/>
        </w:rPr>
        <w:t xml:space="preserve"> </w:t>
      </w:r>
      <w:r w:rsidRPr="00647029">
        <w:rPr>
          <w:rFonts w:ascii="Helvetica" w:hAnsi="Helvetica" w:cs="Helvetica"/>
          <w:sz w:val="20"/>
        </w:rPr>
        <w:t>with</w:t>
      </w:r>
      <w:r>
        <w:rPr>
          <w:rFonts w:ascii="Helvetica" w:hAnsi="Helvetica" w:cs="Helvetica"/>
          <w:sz w:val="20"/>
        </w:rPr>
        <w:t xml:space="preserve"> contact information, and how to reference </w:t>
      </w:r>
      <w:r>
        <w:rPr>
          <w:rFonts w:ascii="Helvetica" w:hAnsi="Helvetica" w:cs="Helvetica"/>
          <w:i/>
          <w:iCs/>
          <w:sz w:val="20"/>
        </w:rPr>
        <w:t>Fast Facts.</w:t>
      </w:r>
    </w:p>
    <w:p w:rsidR="00647029" w:rsidRDefault="00647029" w:rsidP="00647029">
      <w:pPr>
        <w:rPr>
          <w:rFonts w:ascii="Helvetica" w:hAnsi="Helvetica" w:cs="Arial"/>
          <w:b/>
          <w:bCs/>
          <w:sz w:val="20"/>
        </w:rPr>
      </w:pPr>
      <w:r>
        <w:rPr>
          <w:rFonts w:ascii="Helvetica" w:hAnsi="Helvetica" w:cs="Arial"/>
          <w:b/>
          <w:bCs/>
          <w:sz w:val="20"/>
        </w:rPr>
        <w:t xml:space="preserve">Copyright: </w:t>
      </w:r>
      <w:r>
        <w:rPr>
          <w:rFonts w:ascii="Helvetica" w:hAnsi="Helvetica" w:cs="Arial"/>
          <w:bCs/>
          <w:sz w:val="20"/>
        </w:rPr>
        <w:t xml:space="preserve"> All </w:t>
      </w:r>
      <w:r>
        <w:rPr>
          <w:rFonts w:ascii="Helvetica" w:hAnsi="Helvetica" w:cs="Arial"/>
          <w:bCs/>
          <w:i/>
          <w:sz w:val="20"/>
        </w:rPr>
        <w:t xml:space="preserve">Fast Facts and Concepts </w:t>
      </w:r>
      <w:r>
        <w:rPr>
          <w:rFonts w:ascii="Helvetica" w:hAnsi="Helvetica" w:cs="Arial"/>
          <w:bCs/>
          <w:sz w:val="20"/>
        </w:rPr>
        <w:t>are published under a Creative Commons Attribution-NonCommercial 4.0 International Copyright (</w:t>
      </w:r>
      <w:hyperlink r:id="rId50" w:history="1">
        <w:r>
          <w:rPr>
            <w:rStyle w:val="Hyperlink"/>
            <w:rFonts w:ascii="Helvetica" w:hAnsi="Helvetica" w:cs="Arial"/>
            <w:bCs/>
            <w:sz w:val="20"/>
          </w:rPr>
          <w:t>http://creativecommons.org/licenses/by-nc/4.0/</w:t>
        </w:r>
      </w:hyperlink>
      <w:r>
        <w:rPr>
          <w:rFonts w:ascii="Helvetica" w:hAnsi="Helvetica" w:cs="Arial"/>
          <w:bCs/>
          <w:sz w:val="20"/>
        </w:rPr>
        <w:t xml:space="preserve">).  </w:t>
      </w:r>
      <w:r>
        <w:rPr>
          <w:rFonts w:ascii="Helvetica" w:hAnsi="Helvetica" w:cs="Arial"/>
          <w:bCs/>
          <w:i/>
          <w:sz w:val="20"/>
        </w:rPr>
        <w:t xml:space="preserve">Fast Facts </w:t>
      </w:r>
      <w:r>
        <w:rPr>
          <w:rFonts w:ascii="Helvetica" w:hAnsi="Helvetica" w:cs="Arial"/>
          <w:bCs/>
          <w:sz w:val="20"/>
        </w:rPr>
        <w:t xml:space="preserve">can only be copied and distributed for non-commercial, educational purposes. If you adapt or distribute a </w:t>
      </w:r>
      <w:r>
        <w:rPr>
          <w:rFonts w:ascii="Helvetica" w:hAnsi="Helvetica" w:cs="Arial"/>
          <w:bCs/>
          <w:i/>
          <w:sz w:val="20"/>
        </w:rPr>
        <w:t>Fast Fact</w:t>
      </w:r>
      <w:r>
        <w:rPr>
          <w:rFonts w:ascii="Helvetica" w:hAnsi="Helvetica" w:cs="Arial"/>
          <w:bCs/>
          <w:sz w:val="20"/>
        </w:rPr>
        <w:t>, let us know!</w:t>
      </w:r>
    </w:p>
    <w:p w:rsidR="00647029" w:rsidRDefault="00647029" w:rsidP="00647029">
      <w:pPr>
        <w:widowControl w:val="0"/>
        <w:autoSpaceDE w:val="0"/>
        <w:autoSpaceDN w:val="0"/>
        <w:adjustRightInd w:val="0"/>
        <w:rPr>
          <w:rFonts w:ascii="Helvetica" w:hAnsi="Helvetica" w:cs="Arial"/>
          <w:sz w:val="20"/>
        </w:rPr>
      </w:pPr>
      <w:r>
        <w:rPr>
          <w:rFonts w:ascii="Helvetica" w:hAnsi="Helvetica" w:cs="Arial"/>
          <w:b/>
          <w:bCs/>
          <w:sz w:val="20"/>
        </w:rPr>
        <w:t>Disclaimer:</w:t>
      </w:r>
      <w:r>
        <w:rPr>
          <w:rFonts w:ascii="Helvetica" w:hAnsi="Helvetica" w:cs="Arial"/>
          <w:bCs/>
          <w:sz w:val="20"/>
        </w:rPr>
        <w:t xml:space="preserve"> </w:t>
      </w:r>
      <w:r>
        <w:rPr>
          <w:rFonts w:ascii="Helvetica" w:hAnsi="Helvetica" w:cs="Arial"/>
          <w:bCs/>
          <w:i/>
          <w:sz w:val="20"/>
        </w:rPr>
        <w:t>Fast Facts and Concepts</w:t>
      </w:r>
      <w:r>
        <w:rPr>
          <w:rFonts w:ascii="Helvetica" w:hAnsi="Helvetica" w:cs="Arial"/>
          <w:bCs/>
          <w:sz w:val="20"/>
        </w:rPr>
        <w:t xml:space="preserve"> provide educational information for health care professionals. This information is not medical advice. </w:t>
      </w:r>
      <w:r>
        <w:rPr>
          <w:rFonts w:ascii="Helvetica" w:hAnsi="Helvetica" w:cs="Arial"/>
          <w:bCs/>
          <w:i/>
          <w:sz w:val="20"/>
        </w:rPr>
        <w:t xml:space="preserve">Fast Facts </w:t>
      </w:r>
      <w:r>
        <w:rPr>
          <w:rFonts w:ascii="Helvetica" w:hAnsi="Helvetica" w:cs="Arial"/>
          <w:bCs/>
          <w:sz w:val="20"/>
        </w:rPr>
        <w:t xml:space="preserve">are not continually updated, and new safety information may emerge after a </w:t>
      </w:r>
      <w:r>
        <w:rPr>
          <w:rFonts w:ascii="Helvetica" w:hAnsi="Helvetica" w:cs="Arial"/>
          <w:bCs/>
          <w:i/>
          <w:sz w:val="20"/>
        </w:rPr>
        <w:t xml:space="preserve">Fast Fact </w:t>
      </w:r>
      <w:r>
        <w:rPr>
          <w:rFonts w:ascii="Helvetica" w:hAnsi="Helvetica" w:cs="Arial"/>
          <w:bCs/>
          <w:sz w:val="20"/>
        </w:rPr>
        <w:t xml:space="preserve">is published. Health care providers should always exercise their own independent clinical judgment and consult other relevant and up-to-date experts and resources. Some </w:t>
      </w:r>
      <w:r>
        <w:rPr>
          <w:rFonts w:ascii="Helvetica" w:hAnsi="Helvetica" w:cs="Arial"/>
          <w:bCs/>
          <w:i/>
          <w:sz w:val="20"/>
        </w:rPr>
        <w:t>Fast Facts</w:t>
      </w:r>
      <w:r>
        <w:rPr>
          <w:rFonts w:ascii="Helvetica" w:hAnsi="Helvetica" w:cs="Arial"/>
          <w:bCs/>
          <w:sz w:val="20"/>
        </w:rPr>
        <w:t xml:space="preserve"> cite the use of a product in a dosage, for an indication, or in a manner other than that recommended in the product labeling. Accordingly, the official prescribing information should be consulted before any such product is used.</w:t>
      </w:r>
    </w:p>
    <w:p w:rsidR="00647029" w:rsidRDefault="00647029" w:rsidP="00647029">
      <w:pPr>
        <w:pStyle w:val="Header"/>
        <w:tabs>
          <w:tab w:val="clear" w:pos="4320"/>
          <w:tab w:val="clear" w:pos="8640"/>
        </w:tabs>
        <w:spacing w:after="0" w:line="240" w:lineRule="auto"/>
        <w:rPr>
          <w:rFonts w:ascii="Arial" w:hAnsi="Arial"/>
        </w:rPr>
      </w:pPr>
    </w:p>
    <w:p w:rsidR="0099092F" w:rsidRDefault="0099092F"/>
    <w:p w:rsidR="00647029" w:rsidRDefault="00647029"/>
    <w:p w:rsidR="00647029" w:rsidRDefault="00515843">
      <w:r>
        <w:tab/>
      </w:r>
      <w:r>
        <w:tab/>
      </w:r>
    </w:p>
    <w:p w:rsidR="00515843" w:rsidRDefault="00515843"/>
    <w:sectPr w:rsidR="00515843" w:rsidSect="00321F34">
      <w:pgSz w:w="12240" w:h="15840"/>
      <w:pgMar w:top="1440" w:right="1440" w:bottom="1440" w:left="1440" w:header="720" w:footer="720" w:gutter="0"/>
      <w:pgBorders>
        <w:top w:val="single" w:sz="36" w:space="1" w:color="660066"/>
        <w:left w:val="single" w:sz="36" w:space="4" w:color="660066"/>
        <w:bottom w:val="single" w:sz="36" w:space="1" w:color="660066"/>
        <w:right w:val="single" w:sz="36" w:space="4" w:color="6600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879" w:rsidRDefault="00657879" w:rsidP="00A96A91">
      <w:r>
        <w:separator/>
      </w:r>
    </w:p>
  </w:endnote>
  <w:endnote w:type="continuationSeparator" w:id="0">
    <w:p w:rsidR="00657879" w:rsidRDefault="00657879" w:rsidP="00A9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Grande">
    <w:altName w:val="Times New Roman"/>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879" w:rsidRDefault="00657879" w:rsidP="00A96A91">
      <w:r>
        <w:separator/>
      </w:r>
    </w:p>
  </w:footnote>
  <w:footnote w:type="continuationSeparator" w:id="0">
    <w:p w:rsidR="00657879" w:rsidRDefault="00657879" w:rsidP="00A9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9442B"/>
    <w:multiLevelType w:val="hybridMultilevel"/>
    <w:tmpl w:val="C1D6A3FA"/>
    <w:lvl w:ilvl="0" w:tplc="2A707160">
      <w:start w:val="1"/>
      <w:numFmt w:val="decimal"/>
      <w:lvlText w:val="%1."/>
      <w:lvlJc w:val="left"/>
      <w:pPr>
        <w:ind w:left="720" w:hanging="360"/>
      </w:pPr>
      <w:rPr>
        <w:rFonts w:hint="default"/>
        <w:b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76628"/>
    <w:multiLevelType w:val="hybridMultilevel"/>
    <w:tmpl w:val="A5D2D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CE1D65"/>
    <w:multiLevelType w:val="hybridMultilevel"/>
    <w:tmpl w:val="BCEA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29"/>
    <w:rsid w:val="000E27E0"/>
    <w:rsid w:val="0027014F"/>
    <w:rsid w:val="002A13DA"/>
    <w:rsid w:val="00321F34"/>
    <w:rsid w:val="003F7DF0"/>
    <w:rsid w:val="00437A32"/>
    <w:rsid w:val="00515843"/>
    <w:rsid w:val="005B0489"/>
    <w:rsid w:val="005E7ACA"/>
    <w:rsid w:val="00647029"/>
    <w:rsid w:val="0065050D"/>
    <w:rsid w:val="00657879"/>
    <w:rsid w:val="00680F54"/>
    <w:rsid w:val="00701FC5"/>
    <w:rsid w:val="0092591D"/>
    <w:rsid w:val="0099092F"/>
    <w:rsid w:val="00A96A91"/>
    <w:rsid w:val="00C220C6"/>
    <w:rsid w:val="00C452E5"/>
    <w:rsid w:val="00CF4800"/>
    <w:rsid w:val="00DE4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64F6541-9A85-4356-8FC4-C05A6F51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02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7029"/>
    <w:pPr>
      <w:tabs>
        <w:tab w:val="center" w:pos="4320"/>
        <w:tab w:val="right" w:pos="8640"/>
      </w:tabs>
      <w:spacing w:after="120" w:line="264" w:lineRule="auto"/>
    </w:pPr>
    <w:rPr>
      <w:rFonts w:ascii="Book Antiqua" w:hAnsi="Book Antiqua"/>
      <w:szCs w:val="20"/>
    </w:rPr>
  </w:style>
  <w:style w:type="character" w:customStyle="1" w:styleId="HeaderChar">
    <w:name w:val="Header Char"/>
    <w:basedOn w:val="DefaultParagraphFont"/>
    <w:link w:val="Header"/>
    <w:rsid w:val="00647029"/>
    <w:rPr>
      <w:rFonts w:ascii="Book Antiqua" w:eastAsia="Times New Roman" w:hAnsi="Book Antiqua" w:cs="Times New Roman"/>
      <w:szCs w:val="20"/>
    </w:rPr>
  </w:style>
  <w:style w:type="character" w:styleId="Hyperlink">
    <w:name w:val="Hyperlink"/>
    <w:rsid w:val="00647029"/>
    <w:rPr>
      <w:color w:val="0000FF"/>
      <w:u w:val="single"/>
    </w:rPr>
  </w:style>
  <w:style w:type="paragraph" w:styleId="Footer">
    <w:name w:val="footer"/>
    <w:basedOn w:val="Normal"/>
    <w:link w:val="FooterChar"/>
    <w:rsid w:val="00647029"/>
    <w:pPr>
      <w:tabs>
        <w:tab w:val="center" w:pos="4320"/>
        <w:tab w:val="right" w:pos="8640"/>
      </w:tabs>
    </w:pPr>
  </w:style>
  <w:style w:type="character" w:customStyle="1" w:styleId="FooterChar">
    <w:name w:val="Footer Char"/>
    <w:basedOn w:val="DefaultParagraphFont"/>
    <w:link w:val="Footer"/>
    <w:rsid w:val="00647029"/>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47029"/>
    <w:rPr>
      <w:color w:val="800080" w:themeColor="followedHyperlink"/>
      <w:u w:val="single"/>
    </w:rPr>
  </w:style>
  <w:style w:type="paragraph" w:styleId="BalloonText">
    <w:name w:val="Balloon Text"/>
    <w:basedOn w:val="Normal"/>
    <w:link w:val="BalloonTextChar"/>
    <w:uiPriority w:val="99"/>
    <w:semiHidden/>
    <w:unhideWhenUsed/>
    <w:rsid w:val="005158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843"/>
    <w:rPr>
      <w:rFonts w:ascii="Lucida Grande" w:eastAsia="Times New Roman" w:hAnsi="Lucida Grande" w:cs="Lucida Grande"/>
      <w:sz w:val="18"/>
      <w:szCs w:val="18"/>
    </w:rPr>
  </w:style>
  <w:style w:type="character" w:styleId="HTMLCite">
    <w:name w:val="HTML Cite"/>
    <w:basedOn w:val="DefaultParagraphFont"/>
    <w:uiPriority w:val="99"/>
    <w:semiHidden/>
    <w:unhideWhenUsed/>
    <w:rsid w:val="00321F34"/>
    <w:rPr>
      <w:i/>
      <w:iCs/>
    </w:rPr>
  </w:style>
  <w:style w:type="character" w:styleId="CommentReference">
    <w:name w:val="annotation reference"/>
    <w:basedOn w:val="DefaultParagraphFont"/>
    <w:uiPriority w:val="99"/>
    <w:semiHidden/>
    <w:unhideWhenUsed/>
    <w:rsid w:val="00C220C6"/>
    <w:rPr>
      <w:sz w:val="16"/>
      <w:szCs w:val="16"/>
    </w:rPr>
  </w:style>
  <w:style w:type="paragraph" w:customStyle="1" w:styleId="Default">
    <w:name w:val="Default"/>
    <w:rsid w:val="00C220C6"/>
    <w:pPr>
      <w:autoSpaceDE w:val="0"/>
      <w:autoSpaceDN w:val="0"/>
      <w:adjustRightInd w:val="0"/>
    </w:pPr>
    <w:rPr>
      <w:rFonts w:ascii="Arial" w:eastAsiaTheme="minorHAnsi" w:hAnsi="Arial" w:cs="Arial"/>
      <w:color w:val="000000"/>
    </w:rPr>
  </w:style>
  <w:style w:type="character" w:customStyle="1" w:styleId="highlight2">
    <w:name w:val="highlight2"/>
    <w:basedOn w:val="DefaultParagraphFont"/>
    <w:rsid w:val="00C220C6"/>
  </w:style>
  <w:style w:type="paragraph" w:styleId="ListParagraph">
    <w:name w:val="List Paragraph"/>
    <w:basedOn w:val="Normal"/>
    <w:uiPriority w:val="34"/>
    <w:qFormat/>
    <w:rsid w:val="00C220C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Schaffhausser%20H%5BAuthor%5D&amp;cauthor=true&amp;cauthor_uid=20652603" TargetMode="External"/><Relationship Id="rId18" Type="http://schemas.openxmlformats.org/officeDocument/2006/relationships/hyperlink" Target="http://www.ncbi.nlm.nih.gov/pubmed/?term=Support+Care+Cancer+2011%3B+19(9)%3A1313-8." TargetMode="External"/><Relationship Id="rId26" Type="http://schemas.openxmlformats.org/officeDocument/2006/relationships/hyperlink" Target="http://www.ncbi.nlm.nih.gov/pubmed/?term=Rodr%C3%ADguez%20LA%5BAuthor%5D&amp;cauthor=true&amp;cauthor_uid=21771831" TargetMode="External"/><Relationship Id="rId39" Type="http://schemas.openxmlformats.org/officeDocument/2006/relationships/hyperlink" Target="http://www.ncbi.nlm.nih.gov/pubmed/?term=Br+J+Clin+Pharmacol.+2014+Oct%3B+78(4)%3A+738%E2%80%93747" TargetMode="External"/><Relationship Id="rId21" Type="http://schemas.openxmlformats.org/officeDocument/2006/relationships/hyperlink" Target="http://www.ncbi.nlm.nih.gov/pubmed/?term=van%20Nordennen%20RT%5BAuthor%5D&amp;cauthor=true&amp;cauthor_uid=24825615" TargetMode="External"/><Relationship Id="rId34" Type="http://schemas.openxmlformats.org/officeDocument/2006/relationships/hyperlink" Target="http://www.ncbi.nlm.nih.gov/pubmed/?term=McPherson%20ML%5BAuthor%5D&amp;cauthor=true&amp;cauthor_uid=20557233" TargetMode="External"/><Relationship Id="rId42" Type="http://schemas.openxmlformats.org/officeDocument/2006/relationships/hyperlink" Target="http://www.ncbi.nlm.nih.gov/pubmed/?term=Yee%20M%5BAuthor%5D&amp;cauthor=true&amp;cauthor_uid=23749475" TargetMode="External"/><Relationship Id="rId47" Type="http://schemas.openxmlformats.org/officeDocument/2006/relationships/hyperlink" Target="http://www.ncbi.nlm.nih.gov/pubmed/?term=Drugs+Aging.+2013+Sep%3B30(9)%3A655-66" TargetMode="External"/><Relationship Id="rId50" Type="http://schemas.openxmlformats.org/officeDocument/2006/relationships/hyperlink" Target="http://creativecommons.org/licenses/by-nc/4.0/" TargetMode="External"/><Relationship Id="rId7" Type="http://schemas.openxmlformats.org/officeDocument/2006/relationships/hyperlink" Target="http://www.mypcnow.org" TargetMode="External"/><Relationship Id="rId2" Type="http://schemas.openxmlformats.org/officeDocument/2006/relationships/styles" Target="styles.xml"/><Relationship Id="rId16" Type="http://schemas.openxmlformats.org/officeDocument/2006/relationships/hyperlink" Target="http://www.ncbi.nlm.nih.gov/pubmed/?term=Del%20Giglio%20A%5BAuthor%5D&amp;cauthor=true&amp;cauthor_uid=20652603" TargetMode="External"/><Relationship Id="rId29" Type="http://schemas.openxmlformats.org/officeDocument/2006/relationships/hyperlink" Target="http://www.ncbi.nlm.nih.gov/pubmed/?term=Johansson%20S%5BAuthor%5D&amp;cauthor=true&amp;cauthor_uid=21771831" TargetMode="External"/><Relationship Id="rId11" Type="http://schemas.openxmlformats.org/officeDocument/2006/relationships/hyperlink" Target="http://www.ncbi.nlm.nih.gov/pubmed/?term=Antonangelo%20D%5BAuthor%5D&amp;cauthor=true&amp;cauthor_uid=20652603" TargetMode="External"/><Relationship Id="rId24" Type="http://schemas.openxmlformats.org/officeDocument/2006/relationships/hyperlink" Target="http://www.ncbi.nlm.nih.gov/pubmed/?term=Koopmans%20RT%5BAuthor%5D&amp;cauthor=true&amp;cauthor_uid=24825615" TargetMode="External"/><Relationship Id="rId32" Type="http://schemas.openxmlformats.org/officeDocument/2006/relationships/hyperlink" Target="http://www.ncbi.nlm.nih.gov/pubmed/?term=Kaiser%20K%5BAuthor%5D&amp;cauthor=true&amp;cauthor_uid=20557233" TargetMode="External"/><Relationship Id="rId37" Type="http://schemas.openxmlformats.org/officeDocument/2006/relationships/hyperlink" Target="http://www.ncbi.nlm.nih.gov/pubmed/?term=J+Clin+Pharm+Ther.+2012+Dec%3B37(6)%3A637-42" TargetMode="External"/><Relationship Id="rId40" Type="http://schemas.openxmlformats.org/officeDocument/2006/relationships/hyperlink" Target="http://www.ncbi.nlm.nih.gov/pubmed/?term=Holmes%20HM%5BAuthor%5D&amp;cauthor=true&amp;cauthor_uid=23749475" TargetMode="External"/><Relationship Id="rId45" Type="http://schemas.openxmlformats.org/officeDocument/2006/relationships/hyperlink" Target="http://www.ncbi.nlm.nih.gov/pubmed/?term=Dale%20W%5BAuthor%5D&amp;cauthor=true&amp;cauthor_uid=23749475" TargetMode="External"/><Relationship Id="rId5" Type="http://schemas.openxmlformats.org/officeDocument/2006/relationships/footnotes" Target="footnotes.xml"/><Relationship Id="rId15" Type="http://schemas.openxmlformats.org/officeDocument/2006/relationships/hyperlink" Target="http://www.ncbi.nlm.nih.gov/pubmed/?term=Zimmermann%20C%5BAuthor%5D&amp;cauthor=true&amp;cauthor_uid=20652603" TargetMode="External"/><Relationship Id="rId23" Type="http://schemas.openxmlformats.org/officeDocument/2006/relationships/hyperlink" Target="http://www.ncbi.nlm.nih.gov/pubmed/?term=Vissers%20KC%5BAuthor%5D&amp;cauthor=true&amp;cauthor_uid=24825615" TargetMode="External"/><Relationship Id="rId28" Type="http://schemas.openxmlformats.org/officeDocument/2006/relationships/hyperlink" Target="http://www.ncbi.nlm.nih.gov/pubmed/?term=Mart%C3%ADn-Merino%20E%5BAuthor%5D&amp;cauthor=true&amp;cauthor_uid=21771831" TargetMode="External"/><Relationship Id="rId36" Type="http://schemas.openxmlformats.org/officeDocument/2006/relationships/hyperlink" Target="http://www.ncbi.nlm.nih.gov/pubmed/?term=BMJ.+2004+Oct+16%3B329(7471)%3A909-12" TargetMode="External"/><Relationship Id="rId49" Type="http://schemas.openxmlformats.org/officeDocument/2006/relationships/hyperlink" Target="http://www.mypcnow.org/" TargetMode="External"/><Relationship Id="rId10" Type="http://schemas.openxmlformats.org/officeDocument/2006/relationships/hyperlink" Target="http://www.ncbi.nlm.nih.gov/pubmed/?term=Miranda%20M%5BAuthor%5D&amp;cauthor=true&amp;cauthor_uid=20652603" TargetMode="External"/><Relationship Id="rId19" Type="http://schemas.openxmlformats.org/officeDocument/2006/relationships/hyperlink" Target="http://www.ncbi.nlm.nih.gov/pubmed/22843427" TargetMode="External"/><Relationship Id="rId31" Type="http://schemas.openxmlformats.org/officeDocument/2006/relationships/hyperlink" Target="http://www.ncbi.nlm.nih.gov/pubmed/?term=Holmes%20HM%5BAuthor%5D&amp;cauthor=true&amp;cauthor_uid=20557233" TargetMode="External"/><Relationship Id="rId44" Type="http://schemas.openxmlformats.org/officeDocument/2006/relationships/hyperlink" Target="http://www.ncbi.nlm.nih.gov/pubmed/?term=Basran%20J%5BAuthor%5D&amp;cauthor=true&amp;cauthor_uid=23749475"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term=Fede%20A%5BAuthor%5D&amp;cauthor=true&amp;cauthor_uid=20652603" TargetMode="External"/><Relationship Id="rId14" Type="http://schemas.openxmlformats.org/officeDocument/2006/relationships/hyperlink" Target="http://www.ncbi.nlm.nih.gov/pubmed/?term=Hamermesz%20B%5BAuthor%5D&amp;cauthor=true&amp;cauthor_uid=20652603" TargetMode="External"/><Relationship Id="rId22" Type="http://schemas.openxmlformats.org/officeDocument/2006/relationships/hyperlink" Target="http://www.ncbi.nlm.nih.gov/pubmed/?term=Lavrijsen%20JC%5BAuthor%5D&amp;cauthor=true&amp;cauthor_uid=24825615" TargetMode="External"/><Relationship Id="rId27" Type="http://schemas.openxmlformats.org/officeDocument/2006/relationships/hyperlink" Target="http://www.ncbi.nlm.nih.gov/pubmed/?term=Cea-Soriano%20L%5BAuthor%5D&amp;cauthor=true&amp;cauthor_uid=21771831" TargetMode="External"/><Relationship Id="rId30" Type="http://schemas.openxmlformats.org/officeDocument/2006/relationships/hyperlink" Target="http://www.ncbi.nlm.nih.gov/pubmed/?term=BMJ+2011%3B343%3Ad4094" TargetMode="External"/><Relationship Id="rId35" Type="http://schemas.openxmlformats.org/officeDocument/2006/relationships/hyperlink" Target="http://www.ncbi.nlm.nih.gov/pubmed/20557233" TargetMode="External"/><Relationship Id="rId43" Type="http://schemas.openxmlformats.org/officeDocument/2006/relationships/hyperlink" Target="http://www.ncbi.nlm.nih.gov/pubmed/?term=Varadhan%20R%5BAuthor%5D&amp;cauthor=true&amp;cauthor_uid=23749475" TargetMode="External"/><Relationship Id="rId48" Type="http://schemas.openxmlformats.org/officeDocument/2006/relationships/hyperlink" Target="http://www.mypcnow.org/"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ncbi.nlm.nih.gov/pubmed/?term=Trevizan%20L%5BAuthor%5D&amp;cauthor=true&amp;cauthor_uid=20652603" TargetMode="External"/><Relationship Id="rId17" Type="http://schemas.openxmlformats.org/officeDocument/2006/relationships/hyperlink" Target="http://www.ncbi.nlm.nih.gov/pubmed/?term=Riechelmann%20RP%5BAuthor%5D&amp;cauthor=true&amp;cauthor_uid=20652603" TargetMode="External"/><Relationship Id="rId25" Type="http://schemas.openxmlformats.org/officeDocument/2006/relationships/hyperlink" Target="http://www.ncbi.nlm.nih.gov/pubmed/?term=Decision+making+about+change+of+medication+for+comorbid+disease+at+the+end+of+life%3A+an+integrative+review" TargetMode="External"/><Relationship Id="rId33" Type="http://schemas.openxmlformats.org/officeDocument/2006/relationships/hyperlink" Target="http://www.ncbi.nlm.nih.gov/pubmed/?term=Jackson%20S%5BAuthor%5D&amp;cauthor=true&amp;cauthor_uid=20557233" TargetMode="External"/><Relationship Id="rId38" Type="http://schemas.openxmlformats.org/officeDocument/2006/relationships/hyperlink" Target="http://www.ncbi.nlm.nih.gov/pubmed/?term=Le%20Couteur%20DG%5BAuthor%5D&amp;cauthor=true&amp;cauthor_uid=25735580" TargetMode="External"/><Relationship Id="rId46" Type="http://schemas.openxmlformats.org/officeDocument/2006/relationships/hyperlink" Target="http://www.ncbi.nlm.nih.gov/pubmed/?term=Boyd%20CM%5BAuthor%5D&amp;cauthor=true&amp;cauthor_uid=23749475" TargetMode="External"/><Relationship Id="rId20" Type="http://schemas.openxmlformats.org/officeDocument/2006/relationships/hyperlink" Target="http://www.ncbi.nlm.nih.gov/pubmed/?term=Rigby%20D%5BAuthor%5D&amp;cauthor=true&amp;cauthor_uid=25798731" TargetMode="External"/><Relationship Id="rId41" Type="http://schemas.openxmlformats.org/officeDocument/2006/relationships/hyperlink" Target="http://www.ncbi.nlm.nih.gov/pubmed/?term=Min%20LC%5BAuthor%5D&amp;cauthor=true&amp;cauthor_uid=23749475"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Lu Marchand</cp:lastModifiedBy>
  <cp:revision>2</cp:revision>
  <cp:lastPrinted>2018-10-08T18:49:00Z</cp:lastPrinted>
  <dcterms:created xsi:type="dcterms:W3CDTF">2018-10-08T18:49:00Z</dcterms:created>
  <dcterms:modified xsi:type="dcterms:W3CDTF">2018-10-08T18:49:00Z</dcterms:modified>
</cp:coreProperties>
</file>