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3/4/16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  <w:b/>
        </w:rPr>
        <w:t>SUBJECT:</w:t>
      </w:r>
      <w:r w:rsidRPr="002356EA">
        <w:rPr>
          <w:rFonts w:ascii="Arial" w:hAnsi="Arial" w:cs="Arial"/>
        </w:rPr>
        <w:t xml:space="preserve">  ID Requirements for Unescorted Access to JBLM for Non-DoD Visitors</w:t>
      </w:r>
      <w:r w:rsidRPr="002356EA"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has Changed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A standard Washington state driver license or ID card can no longer be used to</w:t>
      </w:r>
      <w:r w:rsidRPr="002356EA"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get a visitor's pass for access to Joint Base Lewis-McChord or the Yakima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Training Center starting April 1, 2016 because neither complies with Real ID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Act of 2005 requirements.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Washington is one of five states (along with Illinois, Minnesota, Missouri and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New Mexico) that do not comply with this law. Although the law went into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effect in 2005, implementing its requirements for JBLM access has been delayed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2356EA">
        <w:rPr>
          <w:rFonts w:ascii="Arial" w:hAnsi="Arial" w:cs="Arial"/>
        </w:rPr>
        <w:t>until now.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This change affects companies with employees who need unescorted access to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JBLM or YTC.  It also impacts visiting student/resident rotators who need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visitor passes for unescorted base access.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Washington State Enhanced Driver's Licenses and IDs are Real ID Act compliant,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so either can be used to prove identity. Visitors with this ID must still go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to the Visitor Center to get a base pass.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People without a Washington State Enhanced Driver's License or ID must provide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one of the following forms of ID to get a base pass: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U.S. Passport or U.S. Passport Card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Permanent resident card or Alien Registration Receipt Card (INS Form I-551)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Foreign passport with a temporary I-551 stamp or temporary I-551 with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printed notation on a machine readable immigrant visa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Foreign passport with a current arrival-departure record or foreign passport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with INS Form I-94/I-94A bearing the same names as the passport and containing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an endorsement of the alien's nonimmigrant status, if that status authorizes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the alien to work for an employer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Employment authorization document that contains a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photograph (INS Form I-776)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Driver license or identification card issued by a state or outlying U.S.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possession that is Real ID-compliant. For Washington and Minnesota this is the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enhanced driver license or enhanced ID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JBLM-issued Rapid Gate Identification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U.S. Coast Guard Merchant Mariner Card or Transportation Worker ID Card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issued by DHS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Native American tribal document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- U.S. Government issued, authenticated Federal PIV</w:t>
      </w:r>
      <w:r>
        <w:rPr>
          <w:rFonts w:ascii="Arial" w:hAnsi="Arial" w:cs="Arial"/>
        </w:rPr>
        <w:t xml:space="preserve"> </w:t>
      </w:r>
      <w:r w:rsidRPr="002356EA">
        <w:rPr>
          <w:rFonts w:ascii="Arial" w:hAnsi="Arial" w:cs="Arial"/>
        </w:rPr>
        <w:t>Credentials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lastRenderedPageBreak/>
        <w:t>Respectfully,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Holly Miller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Student Coordinator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Graduate Medical Education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Madigan Army Medical Center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ATTN: MCHJ-CLE-G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9040A Jackson Avenue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Tacoma, WA  98431-1100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Office: 253-968-1511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56EA">
        <w:rPr>
          <w:rFonts w:ascii="Arial" w:hAnsi="Arial" w:cs="Arial"/>
        </w:rPr>
        <w:t>Fax: 253-968-0958</w:t>
      </w:r>
    </w:p>
    <w:p w:rsidR="002356EA" w:rsidRPr="002356EA" w:rsidRDefault="002356EA" w:rsidP="00235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Pr="002356EA">
          <w:rPr>
            <w:rFonts w:ascii="Arial" w:hAnsi="Arial" w:cs="Arial"/>
            <w:color w:val="386EFF"/>
            <w:u w:val="single" w:color="386EFF"/>
          </w:rPr>
          <w:t>holly.f.miller.civ@mail.mil</w:t>
        </w:r>
      </w:hyperlink>
    </w:p>
    <w:p w:rsidR="00F86065" w:rsidRPr="002356EA" w:rsidRDefault="002356EA" w:rsidP="002356EA">
      <w:pPr>
        <w:rPr>
          <w:rFonts w:ascii="Arial" w:hAnsi="Arial" w:cs="Arial"/>
        </w:rPr>
      </w:pPr>
      <w:r w:rsidRPr="002356EA">
        <w:rPr>
          <w:rFonts w:ascii="Arial" w:hAnsi="Arial" w:cs="Arial"/>
        </w:rPr>
        <w:t>Office Hours:  M-F 0730-1600 PST</w:t>
      </w:r>
    </w:p>
    <w:sectPr w:rsidR="00F86065" w:rsidRPr="002356EA" w:rsidSect="00651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A"/>
    <w:rsid w:val="002356EA"/>
    <w:rsid w:val="00651F28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6F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lly.f.miller.civ@mail.m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Kraus</dc:creator>
  <cp:keywords/>
  <dc:description/>
  <cp:lastModifiedBy>Eric Kraus</cp:lastModifiedBy>
  <cp:revision>1</cp:revision>
  <dcterms:created xsi:type="dcterms:W3CDTF">2016-03-11T20:27:00Z</dcterms:created>
  <dcterms:modified xsi:type="dcterms:W3CDTF">2016-03-11T20:29:00Z</dcterms:modified>
</cp:coreProperties>
</file>