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2E71FB6E" w:rsidP="00D12FFC" w:rsidRDefault="34B29DFF" w14:paraId="524E52B0" w14:textId="4EFF7220">
      <w:pPr>
        <w:jc w:val="center"/>
        <w:rPr>
          <w:b/>
          <w:bCs/>
          <w:color w:val="000000" w:themeColor="text1"/>
        </w:rPr>
      </w:pPr>
      <w:r w:rsidRPr="0076115E">
        <w:rPr>
          <w:b/>
          <w:bCs/>
          <w:color w:val="000000" w:themeColor="text1"/>
        </w:rPr>
        <w:t>Medical Student Documentation</w:t>
      </w:r>
      <w:r w:rsidRPr="0076115E" w:rsidR="3BF9A08F">
        <w:rPr>
          <w:b/>
          <w:bCs/>
          <w:color w:val="000000" w:themeColor="text1"/>
        </w:rPr>
        <w:t xml:space="preserve"> Policy</w:t>
      </w:r>
    </w:p>
    <w:p w:rsidRPr="00FC558F" w:rsidR="00FC558F" w:rsidP="00D12FFC" w:rsidRDefault="00FC558F" w14:paraId="5400F647" w14:textId="2363B8F9">
      <w:pPr>
        <w:jc w:val="center"/>
        <w:rPr>
          <w:color w:val="000000" w:themeColor="text1"/>
        </w:rPr>
      </w:pPr>
      <w:r>
        <w:rPr>
          <w:color w:val="000000" w:themeColor="text1"/>
        </w:rPr>
        <w:t>Vivian Yang, Ryan Kiser, David Tirschwell, Eric Kraus, Arielle Davis, Natalie Weathered</w:t>
      </w:r>
    </w:p>
    <w:p w:rsidRPr="00C54CB0" w:rsidR="00C54CB0" w:rsidP="00D12FFC" w:rsidRDefault="00C54CB0" w14:paraId="53F8922A" w14:textId="5B10F2E6">
      <w:pPr>
        <w:jc w:val="center"/>
        <w:rPr>
          <w:color w:val="000000" w:themeColor="text1"/>
        </w:rPr>
      </w:pPr>
      <w:r>
        <w:rPr>
          <w:color w:val="000000" w:themeColor="text1"/>
        </w:rPr>
        <w:t>UPDATED 6/17/2026</w:t>
      </w:r>
    </w:p>
    <w:p w:rsidRPr="004B29E0" w:rsidR="00EA2B4A" w:rsidP="008F7364" w:rsidRDefault="00517128" w14:paraId="1E314280" w14:textId="0667A014">
      <w:pPr>
        <w:spacing w:line="278" w:lineRule="auto"/>
        <w:rPr>
          <w:u w:val="single"/>
        </w:rPr>
      </w:pPr>
      <w:r w:rsidRPr="004B29E0">
        <w:rPr>
          <w:b/>
          <w:bCs/>
          <w:color w:val="000000" w:themeColor="text1"/>
          <w:u w:val="single"/>
        </w:rPr>
        <w:t>Goals</w:t>
      </w:r>
      <w:r w:rsidRPr="004B29E0" w:rsidR="052D64FF">
        <w:rPr>
          <w:b/>
          <w:bCs/>
          <w:color w:val="000000" w:themeColor="text1"/>
          <w:u w:val="single"/>
        </w:rPr>
        <w:t>:</w:t>
      </w:r>
    </w:p>
    <w:p w:rsidR="00517128" w:rsidP="00517128" w:rsidRDefault="1E133332" w14:paraId="5841FCEC" w14:textId="0DDC32D4">
      <w:pPr>
        <w:pStyle w:val="ListParagraph"/>
        <w:numPr>
          <w:ilvl w:val="0"/>
          <w:numId w:val="19"/>
        </w:numPr>
        <w:spacing w:line="278" w:lineRule="auto"/>
        <w:rPr>
          <w:color w:val="000000" w:themeColor="text1"/>
        </w:rPr>
      </w:pPr>
      <w:r w:rsidRPr="00517128">
        <w:rPr>
          <w:color w:val="000000" w:themeColor="text1"/>
        </w:rPr>
        <w:t>F</w:t>
      </w:r>
      <w:r w:rsidRPr="00517128" w:rsidR="157F2F63">
        <w:rPr>
          <w:color w:val="000000" w:themeColor="text1"/>
        </w:rPr>
        <w:t xml:space="preserve">acilitate </w:t>
      </w:r>
      <w:r w:rsidRPr="00517128" w:rsidR="41D04FC4">
        <w:rPr>
          <w:color w:val="000000" w:themeColor="text1"/>
        </w:rPr>
        <w:t xml:space="preserve">medical student learning and </w:t>
      </w:r>
      <w:r w:rsidR="009615D9">
        <w:rPr>
          <w:color w:val="000000" w:themeColor="text1"/>
        </w:rPr>
        <w:t>participation in patient care</w:t>
      </w:r>
      <w:r w:rsidRPr="00517128" w:rsidR="41D04FC4">
        <w:rPr>
          <w:color w:val="000000" w:themeColor="text1"/>
        </w:rPr>
        <w:t xml:space="preserve"> through note-writing</w:t>
      </w:r>
      <w:r w:rsidR="009615D9">
        <w:rPr>
          <w:color w:val="000000" w:themeColor="text1"/>
        </w:rPr>
        <w:t>.</w:t>
      </w:r>
    </w:p>
    <w:p w:rsidRPr="00517128" w:rsidR="00EA2B4A" w:rsidP="00517128" w:rsidRDefault="00517128" w14:paraId="048215BE" w14:textId="57160BF3">
      <w:pPr>
        <w:pStyle w:val="ListParagraph"/>
        <w:numPr>
          <w:ilvl w:val="0"/>
          <w:numId w:val="19"/>
        </w:numPr>
        <w:spacing w:line="278" w:lineRule="auto"/>
        <w:rPr>
          <w:color w:val="000000" w:themeColor="text1"/>
        </w:rPr>
      </w:pPr>
      <w:r>
        <w:rPr>
          <w:color w:val="000000" w:themeColor="text1"/>
        </w:rPr>
        <w:t>O</w:t>
      </w:r>
      <w:r w:rsidRPr="00517128" w:rsidR="6C3BB044">
        <w:rPr>
          <w:color w:val="000000" w:themeColor="text1"/>
        </w:rPr>
        <w:t>ptimize</w:t>
      </w:r>
      <w:r>
        <w:rPr>
          <w:color w:val="000000" w:themeColor="text1"/>
        </w:rPr>
        <w:t xml:space="preserve"> </w:t>
      </w:r>
      <w:r w:rsidRPr="00517128" w:rsidR="6C3BB044">
        <w:rPr>
          <w:color w:val="000000" w:themeColor="text1"/>
        </w:rPr>
        <w:t>patient safety, team workflow efficiency, and adherence to CMS E/M requirements.</w:t>
      </w:r>
    </w:p>
    <w:p w:rsidRPr="004B29E0" w:rsidR="009D4581" w:rsidP="009D4581" w:rsidRDefault="009D4581" w14:paraId="0AD89E6D" w14:textId="62D0EF88">
      <w:pPr>
        <w:rPr>
          <w:b/>
          <w:bCs/>
          <w:color w:val="000000" w:themeColor="text1"/>
          <w:u w:val="single"/>
        </w:rPr>
      </w:pPr>
      <w:r w:rsidRPr="004B29E0">
        <w:rPr>
          <w:b/>
          <w:bCs/>
          <w:color w:val="000000" w:themeColor="text1"/>
          <w:u w:val="single"/>
        </w:rPr>
        <w:t>Scope:</w:t>
      </w:r>
    </w:p>
    <w:p w:rsidR="009D4581" w:rsidP="00EA2B4A" w:rsidRDefault="1CA2F22F" w14:paraId="3907C764" w14:textId="65435059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6D6B4129">
        <w:rPr>
          <w:color w:val="000000" w:themeColor="text1"/>
        </w:rPr>
        <w:t>Applies to medical students, not PA or NP students.</w:t>
      </w:r>
    </w:p>
    <w:p w:rsidR="4B4EDAA0" w:rsidP="6D6B4129" w:rsidRDefault="003A3DCE" w14:paraId="7ED25487" w14:textId="210BC531">
      <w:pPr>
        <w:pStyle w:val="ListParagraph"/>
        <w:numPr>
          <w:ilvl w:val="0"/>
          <w:numId w:val="15"/>
        </w:numPr>
        <w:rPr>
          <w:color w:val="000000" w:themeColor="text1"/>
        </w:rPr>
      </w:pPr>
      <w:r>
        <w:rPr>
          <w:color w:val="000000" w:themeColor="text1"/>
        </w:rPr>
        <w:t>Applies only</w:t>
      </w:r>
      <w:r w:rsidRPr="6D6B4129" w:rsidR="4B4EDAA0">
        <w:rPr>
          <w:color w:val="000000" w:themeColor="text1"/>
        </w:rPr>
        <w:t xml:space="preserve"> to inpatient services</w:t>
      </w:r>
      <w:r w:rsidRPr="6D6B4129" w:rsidR="20CE731C">
        <w:rPr>
          <w:color w:val="000000" w:themeColor="text1"/>
        </w:rPr>
        <w:t xml:space="preserve">. </w:t>
      </w:r>
    </w:p>
    <w:p w:rsidRPr="005413CB" w:rsidR="005413CB" w:rsidP="00B43A6F" w:rsidRDefault="1CA2F22F" w14:paraId="761D0FB3" w14:textId="75814D35">
      <w:pPr>
        <w:pStyle w:val="ListParagraph"/>
        <w:numPr>
          <w:ilvl w:val="0"/>
          <w:numId w:val="15"/>
        </w:numPr>
        <w:spacing w:line="278" w:lineRule="auto"/>
        <w:rPr>
          <w:color w:val="000000" w:themeColor="text1"/>
        </w:rPr>
      </w:pPr>
      <w:r w:rsidRPr="6D6B4129">
        <w:rPr>
          <w:color w:val="000000" w:themeColor="text1"/>
        </w:rPr>
        <w:t>Does not apply to procedures</w:t>
      </w:r>
      <w:r w:rsidRPr="6D6B4129" w:rsidR="394EDE33">
        <w:rPr>
          <w:color w:val="000000" w:themeColor="text1"/>
        </w:rPr>
        <w:t xml:space="preserve"> or</w:t>
      </w:r>
      <w:r w:rsidRPr="6D6B4129">
        <w:rPr>
          <w:color w:val="000000" w:themeColor="text1"/>
        </w:rPr>
        <w:t xml:space="preserve"> </w:t>
      </w:r>
      <w:r w:rsidRPr="6D6B4129" w:rsidR="3756CAD3">
        <w:rPr>
          <w:color w:val="000000" w:themeColor="text1"/>
        </w:rPr>
        <w:t xml:space="preserve">encounters billed by time. </w:t>
      </w:r>
    </w:p>
    <w:p w:rsidR="005C2197" w:rsidP="004408ED" w:rsidRDefault="005C2197" w14:paraId="55040F69" w14:textId="77777777">
      <w:pPr>
        <w:pStyle w:val="ListParagraph"/>
        <w:ind w:left="0"/>
        <w:rPr>
          <w:color w:val="000000" w:themeColor="text1"/>
        </w:rPr>
      </w:pPr>
    </w:p>
    <w:p w:rsidRPr="000C21AC" w:rsidR="008F7364" w:rsidP="00716984" w:rsidRDefault="002B0D2A" w14:paraId="40C3334E" w14:textId="26CD18D3">
      <w:pPr>
        <w:rPr>
          <w:b/>
          <w:bCs/>
          <w:color w:val="000000" w:themeColor="text1"/>
          <w:u w:val="single"/>
        </w:rPr>
      </w:pPr>
      <w:r w:rsidRPr="000C21AC">
        <w:rPr>
          <w:b/>
          <w:bCs/>
          <w:color w:val="000000" w:themeColor="text1"/>
          <w:u w:val="single"/>
        </w:rPr>
        <w:t>2 basic r</w:t>
      </w:r>
      <w:r w:rsidRPr="000C21AC" w:rsidR="6C3BB044">
        <w:rPr>
          <w:b/>
          <w:bCs/>
          <w:color w:val="000000" w:themeColor="text1"/>
          <w:u w:val="single"/>
        </w:rPr>
        <w:t xml:space="preserve">equirements for </w:t>
      </w:r>
      <w:r w:rsidRPr="000C21AC" w:rsidR="3A1F8575">
        <w:rPr>
          <w:b/>
          <w:bCs/>
          <w:color w:val="000000" w:themeColor="text1"/>
          <w:u w:val="single"/>
        </w:rPr>
        <w:t>medical student documentation</w:t>
      </w:r>
      <w:r w:rsidRPr="000C21AC" w:rsidR="7E24261D">
        <w:rPr>
          <w:b/>
          <w:bCs/>
          <w:color w:val="000000" w:themeColor="text1"/>
          <w:u w:val="single"/>
        </w:rPr>
        <w:t xml:space="preserve"> of billable encounters</w:t>
      </w:r>
      <w:r w:rsidRPr="000C21AC" w:rsidR="3A1F8575">
        <w:rPr>
          <w:b/>
          <w:bCs/>
          <w:color w:val="000000" w:themeColor="text1"/>
          <w:u w:val="single"/>
        </w:rPr>
        <w:t>:</w:t>
      </w:r>
    </w:p>
    <w:p w:rsidRPr="0084605D" w:rsidR="0084605D" w:rsidP="0084605D" w:rsidRDefault="00D31E74" w14:paraId="41DDC656" w14:textId="6328723B">
      <w:pPr>
        <w:spacing w:line="278" w:lineRule="auto"/>
        <w:rPr>
          <w:color w:val="000000" w:themeColor="text1"/>
        </w:rPr>
      </w:pPr>
      <w:r w:rsidRPr="0084605D">
        <w:rPr>
          <w:b/>
          <w:bCs/>
          <w:color w:val="000000" w:themeColor="text1"/>
        </w:rPr>
        <w:t>PRESENCE</w:t>
      </w:r>
      <w:r w:rsidRPr="0084605D" w:rsidR="00673629">
        <w:rPr>
          <w:b/>
          <w:bCs/>
          <w:color w:val="000000" w:themeColor="text1"/>
        </w:rPr>
        <w:t xml:space="preserve">: </w:t>
      </w:r>
      <w:r w:rsidRPr="0084605D" w:rsidR="00C35BB3">
        <w:rPr>
          <w:color w:val="000000" w:themeColor="text1"/>
        </w:rPr>
        <w:t xml:space="preserve">The teaching physician or resident </w:t>
      </w:r>
      <w:r w:rsidRPr="0084605D">
        <w:rPr>
          <w:color w:val="000000" w:themeColor="text1"/>
        </w:rPr>
        <w:t xml:space="preserve">must be </w:t>
      </w:r>
      <w:r w:rsidRPr="0084605D">
        <w:rPr>
          <w:color w:val="000000" w:themeColor="text1"/>
          <w:u w:val="single"/>
        </w:rPr>
        <w:t>present</w:t>
      </w:r>
      <w:r w:rsidRPr="0084605D">
        <w:rPr>
          <w:color w:val="000000" w:themeColor="text1"/>
        </w:rPr>
        <w:t xml:space="preserve"> with the medical student during the documented </w:t>
      </w:r>
      <w:r w:rsidRPr="0084605D" w:rsidR="00C411B8">
        <w:rPr>
          <w:color w:val="000000" w:themeColor="text1"/>
        </w:rPr>
        <w:t>elements</w:t>
      </w:r>
      <w:r w:rsidRPr="0084605D">
        <w:rPr>
          <w:color w:val="000000" w:themeColor="text1"/>
        </w:rPr>
        <w:t xml:space="preserve"> of the encounter.</w:t>
      </w:r>
    </w:p>
    <w:p w:rsidRPr="00673629" w:rsidR="00BF1272" w:rsidP="00673629" w:rsidRDefault="00A92E2B" w14:paraId="42F86A64" w14:textId="161201CF">
      <w:pPr>
        <w:pStyle w:val="ListParagraph"/>
        <w:numPr>
          <w:ilvl w:val="0"/>
          <w:numId w:val="1"/>
        </w:numPr>
        <w:spacing w:line="278" w:lineRule="auto"/>
        <w:rPr>
          <w:color w:val="000000" w:themeColor="text1"/>
        </w:rPr>
      </w:pPr>
      <w:r>
        <w:rPr>
          <w:color w:val="000000" w:themeColor="text1"/>
        </w:rPr>
        <w:t>T</w:t>
      </w:r>
      <w:r w:rsidRPr="00673629" w:rsidR="00BF1272">
        <w:rPr>
          <w:color w:val="000000" w:themeColor="text1"/>
        </w:rPr>
        <w:t>h</w:t>
      </w:r>
      <w:r w:rsidR="00BF1272">
        <w:rPr>
          <w:color w:val="000000" w:themeColor="text1"/>
        </w:rPr>
        <w:t>is requirement can be fulfilled by th</w:t>
      </w:r>
      <w:r w:rsidRPr="00673629" w:rsidR="00BF1272">
        <w:rPr>
          <w:color w:val="000000" w:themeColor="text1"/>
        </w:rPr>
        <w:t>e teaching physician or resident</w:t>
      </w:r>
      <w:r w:rsidR="00BF1272">
        <w:rPr>
          <w:color w:val="000000" w:themeColor="text1"/>
        </w:rPr>
        <w:t>.</w:t>
      </w:r>
    </w:p>
    <w:p w:rsidR="004562A7" w:rsidP="004562A7" w:rsidRDefault="00D31E74" w14:paraId="626032A0" w14:textId="77777777">
      <w:pPr>
        <w:pStyle w:val="ListParagraph"/>
        <w:numPr>
          <w:ilvl w:val="1"/>
          <w:numId w:val="14"/>
        </w:numPr>
        <w:spacing w:before="240" w:line="278" w:lineRule="auto"/>
        <w:contextualSpacing w:val="0"/>
        <w:rPr>
          <w:color w:val="000000" w:themeColor="text1"/>
        </w:rPr>
      </w:pPr>
      <w:r>
        <w:rPr>
          <w:color w:val="000000" w:themeColor="text1"/>
          <w:u w:val="single"/>
        </w:rPr>
        <w:t>Presence</w:t>
      </w:r>
      <w:r>
        <w:rPr>
          <w:color w:val="000000" w:themeColor="text1"/>
        </w:rPr>
        <w:t xml:space="preserve"> means physical presence in the exam room with the medical student and patient. </w:t>
      </w:r>
    </w:p>
    <w:p w:rsidRPr="004562A7" w:rsidR="00421060" w:rsidP="004562A7" w:rsidRDefault="00D31E74" w14:paraId="0D4C7137" w14:textId="6CF732AE">
      <w:pPr>
        <w:pStyle w:val="ListParagraph"/>
        <w:numPr>
          <w:ilvl w:val="1"/>
          <w:numId w:val="14"/>
        </w:numPr>
        <w:spacing w:before="240" w:line="278" w:lineRule="auto"/>
        <w:contextualSpacing w:val="0"/>
        <w:rPr>
          <w:color w:val="000000" w:themeColor="text1"/>
        </w:rPr>
      </w:pPr>
      <w:r w:rsidRPr="004562A7">
        <w:rPr>
          <w:color w:val="000000" w:themeColor="text1"/>
        </w:rPr>
        <w:t xml:space="preserve">This implies </w:t>
      </w:r>
      <w:r w:rsidRPr="004562A7">
        <w:rPr>
          <w:color w:val="000000" w:themeColor="text1"/>
          <w:u w:val="single"/>
        </w:rPr>
        <w:t>supervision</w:t>
      </w:r>
      <w:r w:rsidRPr="004562A7">
        <w:rPr>
          <w:color w:val="000000" w:themeColor="text1"/>
        </w:rPr>
        <w:t xml:space="preserve"> of the medical student. </w:t>
      </w:r>
    </w:p>
    <w:p w:rsidRPr="0084605D" w:rsidR="0084605D" w:rsidP="0084605D" w:rsidRDefault="00D31E74" w14:paraId="1783733C" w14:textId="73C4C91D">
      <w:pPr>
        <w:spacing w:line="278" w:lineRule="auto"/>
        <w:rPr>
          <w:color w:val="000000" w:themeColor="text1"/>
        </w:rPr>
      </w:pPr>
      <w:r w:rsidRPr="0084605D">
        <w:rPr>
          <w:b/>
          <w:bCs/>
          <w:color w:val="000000" w:themeColor="text1"/>
        </w:rPr>
        <w:t>VERIFICATION</w:t>
      </w:r>
      <w:r w:rsidRPr="0084605D" w:rsidR="00DA2077">
        <w:rPr>
          <w:b/>
          <w:bCs/>
          <w:color w:val="000000" w:themeColor="text1"/>
        </w:rPr>
        <w:t xml:space="preserve">: </w:t>
      </w:r>
      <w:r w:rsidRPr="0084605D" w:rsidR="7F462D1A">
        <w:rPr>
          <w:color w:val="000000" w:themeColor="text1"/>
        </w:rPr>
        <w:t xml:space="preserve">Teaching physicians </w:t>
      </w:r>
      <w:r w:rsidRPr="0084605D" w:rsidR="000652EC">
        <w:rPr>
          <w:color w:val="000000" w:themeColor="text1"/>
        </w:rPr>
        <w:t>must</w:t>
      </w:r>
      <w:r w:rsidRPr="0084605D" w:rsidR="7F462D1A">
        <w:rPr>
          <w:color w:val="000000" w:themeColor="text1"/>
        </w:rPr>
        <w:t xml:space="preserve"> </w:t>
      </w:r>
      <w:r w:rsidRPr="0084605D" w:rsidR="7F462D1A">
        <w:rPr>
          <w:color w:val="000000" w:themeColor="text1"/>
          <w:u w:val="single"/>
        </w:rPr>
        <w:t>v</w:t>
      </w:r>
      <w:r w:rsidRPr="0084605D" w:rsidR="7C87D7C0">
        <w:rPr>
          <w:color w:val="000000" w:themeColor="text1"/>
          <w:u w:val="single"/>
        </w:rPr>
        <w:t>erify</w:t>
      </w:r>
      <w:r w:rsidRPr="0084605D" w:rsidR="7C87D7C0">
        <w:rPr>
          <w:color w:val="000000" w:themeColor="text1"/>
        </w:rPr>
        <w:t xml:space="preserve"> </w:t>
      </w:r>
      <w:r w:rsidRPr="0084605D" w:rsidR="00B24E0A">
        <w:rPr>
          <w:color w:val="000000" w:themeColor="text1"/>
        </w:rPr>
        <w:t xml:space="preserve">that all medical student documentation is true and accurate. </w:t>
      </w:r>
    </w:p>
    <w:p w:rsidR="00AF4CD6" w:rsidP="003614C3" w:rsidRDefault="00A92E2B" w14:paraId="0CD61043" w14:textId="6B8B9D80">
      <w:pPr>
        <w:pStyle w:val="ListParagraph"/>
        <w:numPr>
          <w:ilvl w:val="1"/>
          <w:numId w:val="1"/>
        </w:numPr>
        <w:spacing w:line="278" w:lineRule="auto"/>
        <w:contextualSpacing w:val="0"/>
        <w:rPr>
          <w:color w:val="000000" w:themeColor="text1"/>
        </w:rPr>
      </w:pPr>
      <w:r>
        <w:rPr>
          <w:color w:val="000000" w:themeColor="text1"/>
        </w:rPr>
        <w:t>T</w:t>
      </w:r>
      <w:r w:rsidR="007E318C">
        <w:rPr>
          <w:color w:val="000000" w:themeColor="text1"/>
        </w:rPr>
        <w:t>his requirement can only be fulfilled by the teaching physician.</w:t>
      </w:r>
      <w:r w:rsidR="003614C3">
        <w:rPr>
          <w:color w:val="000000" w:themeColor="text1"/>
        </w:rPr>
        <w:t xml:space="preserve"> </w:t>
      </w:r>
    </w:p>
    <w:p w:rsidRPr="003614C3" w:rsidR="00436086" w:rsidP="003614C3" w:rsidRDefault="00436086" w14:paraId="532377F6" w14:textId="1F1FB4A4">
      <w:pPr>
        <w:pStyle w:val="ListParagraph"/>
        <w:numPr>
          <w:ilvl w:val="1"/>
          <w:numId w:val="1"/>
        </w:numPr>
        <w:spacing w:line="278" w:lineRule="auto"/>
        <w:contextualSpacing w:val="0"/>
        <w:rPr>
          <w:color w:val="000000" w:themeColor="text1"/>
        </w:rPr>
      </w:pPr>
      <w:r>
        <w:rPr>
          <w:color w:val="000000" w:themeColor="text1"/>
          <w:u w:val="single"/>
        </w:rPr>
        <w:t>Verification</w:t>
      </w:r>
      <w:r>
        <w:rPr>
          <w:color w:val="000000" w:themeColor="text1"/>
        </w:rPr>
        <w:t xml:space="preserve"> can look different depending on the </w:t>
      </w:r>
      <w:r w:rsidR="00FB3700">
        <w:rPr>
          <w:color w:val="000000" w:themeColor="text1"/>
        </w:rPr>
        <w:t>documented element:</w:t>
      </w:r>
    </w:p>
    <w:p w:rsidRPr="0049493E" w:rsidR="009D1707" w:rsidP="0049493E" w:rsidRDefault="0040195E" w14:paraId="0640C3BA" w14:textId="14AAF5D9">
      <w:pPr>
        <w:spacing w:line="278" w:lineRule="auto"/>
        <w:ind w:left="720"/>
        <w:rPr>
          <w:color w:val="000000" w:themeColor="text1"/>
        </w:rPr>
      </w:pPr>
      <w:r w:rsidRPr="0049493E">
        <w:rPr>
          <w:b/>
          <w:bCs/>
          <w:color w:val="000000" w:themeColor="text1"/>
        </w:rPr>
        <w:t>History</w:t>
      </w:r>
      <w:r w:rsidRPr="0049493E" w:rsidR="006624A8">
        <w:rPr>
          <w:color w:val="000000" w:themeColor="text1"/>
        </w:rPr>
        <w:t xml:space="preserve"> (CC, HPI, past medical/surgical history, social history, family history, ROS)</w:t>
      </w:r>
      <w:r w:rsidRPr="0049493E">
        <w:rPr>
          <w:color w:val="000000" w:themeColor="text1"/>
        </w:rPr>
        <w:t>: T</w:t>
      </w:r>
      <w:r w:rsidRPr="0049493E" w:rsidR="00B915E9">
        <w:rPr>
          <w:color w:val="000000" w:themeColor="text1"/>
        </w:rPr>
        <w:t xml:space="preserve">eaching physicians </w:t>
      </w:r>
      <w:r w:rsidRPr="0049493E" w:rsidR="003A47C9">
        <w:rPr>
          <w:color w:val="000000" w:themeColor="text1"/>
        </w:rPr>
        <w:t>must</w:t>
      </w:r>
      <w:r w:rsidRPr="0049493E" w:rsidR="00B915E9">
        <w:rPr>
          <w:color w:val="000000" w:themeColor="text1"/>
        </w:rPr>
        <w:t xml:space="preserve"> </w:t>
      </w:r>
      <w:r w:rsidRPr="0049493E" w:rsidR="00B915E9">
        <w:rPr>
          <w:color w:val="000000" w:themeColor="text1"/>
          <w:u w:val="single"/>
        </w:rPr>
        <w:t>verify</w:t>
      </w:r>
      <w:r w:rsidRPr="0049493E" w:rsidR="00B915E9">
        <w:rPr>
          <w:color w:val="000000" w:themeColor="text1"/>
        </w:rPr>
        <w:t xml:space="preserve"> </w:t>
      </w:r>
      <w:r w:rsidRPr="0049493E" w:rsidR="00BD547D">
        <w:rPr>
          <w:color w:val="000000" w:themeColor="text1"/>
        </w:rPr>
        <w:t xml:space="preserve">the history </w:t>
      </w:r>
      <w:r w:rsidRPr="0049493E">
        <w:rPr>
          <w:color w:val="000000" w:themeColor="text1"/>
        </w:rPr>
        <w:t>with the patient and/or through chart review</w:t>
      </w:r>
      <w:r w:rsidRPr="0049493E" w:rsidR="00C26246">
        <w:rPr>
          <w:color w:val="000000" w:themeColor="text1"/>
        </w:rPr>
        <w:t xml:space="preserve">. They are not required to </w:t>
      </w:r>
      <w:r w:rsidRPr="0049493E">
        <w:rPr>
          <w:color w:val="000000" w:themeColor="text1"/>
        </w:rPr>
        <w:t>personally perform the history-taking.</w:t>
      </w:r>
    </w:p>
    <w:p w:rsidR="008C3744" w:rsidP="0049493E" w:rsidRDefault="001E5190" w14:paraId="72B7BE89" w14:textId="77777777">
      <w:pPr>
        <w:spacing w:line="278" w:lineRule="auto"/>
        <w:ind w:left="720"/>
        <w:rPr>
          <w:color w:val="000000" w:themeColor="text1"/>
        </w:rPr>
      </w:pPr>
      <w:r w:rsidRPr="0049493E">
        <w:rPr>
          <w:b/>
          <w:bCs/>
          <w:color w:val="000000" w:themeColor="text1"/>
        </w:rPr>
        <w:t>Physical exam</w:t>
      </w:r>
      <w:r w:rsidRPr="0049493E">
        <w:rPr>
          <w:color w:val="000000" w:themeColor="text1"/>
        </w:rPr>
        <w:t xml:space="preserve">: </w:t>
      </w:r>
      <w:r w:rsidRPr="0049493E" w:rsidR="00CD1535">
        <w:rPr>
          <w:color w:val="000000" w:themeColor="text1"/>
        </w:rPr>
        <w:t xml:space="preserve">Teaching physicians must both </w:t>
      </w:r>
      <w:r w:rsidRPr="0049493E" w:rsidR="00CD1535">
        <w:rPr>
          <w:color w:val="000000" w:themeColor="text1"/>
          <w:u w:val="single"/>
        </w:rPr>
        <w:t>perform</w:t>
      </w:r>
      <w:r w:rsidRPr="0049493E" w:rsidR="003A47C9">
        <w:rPr>
          <w:color w:val="000000" w:themeColor="text1"/>
        </w:rPr>
        <w:t xml:space="preserve"> and </w:t>
      </w:r>
      <w:r w:rsidRPr="0049493E" w:rsidR="003A47C9">
        <w:rPr>
          <w:color w:val="000000" w:themeColor="text1"/>
          <w:u w:val="single"/>
        </w:rPr>
        <w:t>verify</w:t>
      </w:r>
      <w:r w:rsidRPr="0049493E" w:rsidR="00805E3E">
        <w:rPr>
          <w:color w:val="000000" w:themeColor="text1"/>
        </w:rPr>
        <w:t xml:space="preserve"> the </w:t>
      </w:r>
      <w:r w:rsidR="008951AC">
        <w:rPr>
          <w:color w:val="000000" w:themeColor="text1"/>
        </w:rPr>
        <w:t>documented exam</w:t>
      </w:r>
      <w:r w:rsidRPr="0049493E" w:rsidR="00805E3E">
        <w:rPr>
          <w:color w:val="000000" w:themeColor="text1"/>
        </w:rPr>
        <w:t xml:space="preserve">. </w:t>
      </w:r>
    </w:p>
    <w:p w:rsidRPr="0049493E" w:rsidR="00176AF0" w:rsidP="0049493E" w:rsidRDefault="008C3744" w14:paraId="6598AABD" w14:textId="6C70A106">
      <w:pPr>
        <w:spacing w:line="278" w:lineRule="auto"/>
        <w:ind w:left="720"/>
        <w:rPr>
          <w:color w:val="000000" w:themeColor="text1"/>
        </w:rPr>
      </w:pPr>
      <w:r>
        <w:rPr>
          <w:b/>
          <w:bCs/>
          <w:color w:val="000000" w:themeColor="text1"/>
        </w:rPr>
        <w:lastRenderedPageBreak/>
        <w:t>*</w:t>
      </w:r>
      <w:r w:rsidRPr="0049493E" w:rsidR="00176AF0">
        <w:rPr>
          <w:color w:val="000000" w:themeColor="text1"/>
        </w:rPr>
        <w:t>For certain maneuvers (e.g. confrontational strength testing, reflexes, heart auscultation</w:t>
      </w:r>
      <w:r w:rsidR="00D15E20">
        <w:rPr>
          <w:color w:val="000000" w:themeColor="text1"/>
        </w:rPr>
        <w:t>, etc.</w:t>
      </w:r>
      <w:r w:rsidRPr="0049493E" w:rsidR="00176AF0">
        <w:rPr>
          <w:color w:val="000000" w:themeColor="text1"/>
        </w:rPr>
        <w:t xml:space="preserve">), the teaching physician </w:t>
      </w:r>
      <w:r w:rsidRPr="0049493E" w:rsidR="00BD547D">
        <w:rPr>
          <w:color w:val="000000" w:themeColor="text1"/>
        </w:rPr>
        <w:t>needs to</w:t>
      </w:r>
      <w:r w:rsidRPr="0049493E" w:rsidR="00176AF0">
        <w:rPr>
          <w:color w:val="000000" w:themeColor="text1"/>
        </w:rPr>
        <w:t xml:space="preserve"> physically do the maneuver to verify findings.</w:t>
      </w:r>
      <w:r w:rsidRPr="0049493E" w:rsidR="00BD547D">
        <w:rPr>
          <w:color w:val="000000" w:themeColor="text1"/>
        </w:rPr>
        <w:t xml:space="preserve"> </w:t>
      </w:r>
      <w:r w:rsidRPr="0049493E" w:rsidR="00176AF0">
        <w:rPr>
          <w:color w:val="000000" w:themeColor="text1"/>
        </w:rPr>
        <w:t>For other maneuvers (e.g. eye movements, pronator drift, finger-to-nose</w:t>
      </w:r>
      <w:r w:rsidR="00D15E20">
        <w:rPr>
          <w:color w:val="000000" w:themeColor="text1"/>
        </w:rPr>
        <w:t>, etc.</w:t>
      </w:r>
      <w:r w:rsidRPr="0049493E" w:rsidR="00176AF0">
        <w:rPr>
          <w:color w:val="000000" w:themeColor="text1"/>
        </w:rPr>
        <w:t xml:space="preserve">), observing the medical student doing the maneuver may be equivalent to </w:t>
      </w:r>
      <w:r w:rsidRPr="0049493E" w:rsidR="00C26FFB">
        <w:rPr>
          <w:color w:val="000000" w:themeColor="text1"/>
        </w:rPr>
        <w:t>personal performance</w:t>
      </w:r>
      <w:r w:rsidRPr="0049493E" w:rsidR="00176AF0">
        <w:rPr>
          <w:color w:val="000000" w:themeColor="text1"/>
        </w:rPr>
        <w:t xml:space="preserve">. The teaching physician should still step in if they are concerned about the medical student’s technique and accuracy of findings. </w:t>
      </w:r>
    </w:p>
    <w:p w:rsidR="00A13E92" w:rsidP="0049493E" w:rsidRDefault="00A254C5" w14:paraId="3C4E50E7" w14:textId="4DB3CD61">
      <w:pPr>
        <w:spacing w:line="278" w:lineRule="auto"/>
        <w:ind w:left="720"/>
        <w:rPr>
          <w:color w:val="000000" w:themeColor="text1"/>
        </w:rPr>
      </w:pPr>
      <w:r w:rsidRPr="0049493E">
        <w:rPr>
          <w:b/>
          <w:bCs/>
          <w:color w:val="000000" w:themeColor="text1"/>
        </w:rPr>
        <w:t>Medical Decision</w:t>
      </w:r>
      <w:r w:rsidRPr="0049493E" w:rsidR="00344739">
        <w:rPr>
          <w:b/>
          <w:bCs/>
          <w:color w:val="000000" w:themeColor="text1"/>
        </w:rPr>
        <w:t xml:space="preserve"> </w:t>
      </w:r>
      <w:r w:rsidRPr="0049493E">
        <w:rPr>
          <w:b/>
          <w:bCs/>
          <w:color w:val="000000" w:themeColor="text1"/>
        </w:rPr>
        <w:t>Making</w:t>
      </w:r>
      <w:r w:rsidRPr="0049493E">
        <w:rPr>
          <w:color w:val="000000" w:themeColor="text1"/>
        </w:rPr>
        <w:t xml:space="preserve">: </w:t>
      </w:r>
      <w:r w:rsidRPr="0049493E" w:rsidR="00953574">
        <w:rPr>
          <w:color w:val="000000" w:themeColor="text1"/>
        </w:rPr>
        <w:t xml:space="preserve">Teaching physicians must </w:t>
      </w:r>
      <w:r w:rsidRPr="0049493E" w:rsidR="009344C7">
        <w:rPr>
          <w:color w:val="000000" w:themeColor="text1"/>
        </w:rPr>
        <w:t xml:space="preserve">both </w:t>
      </w:r>
      <w:r w:rsidRPr="0049493E" w:rsidR="003A47C9">
        <w:rPr>
          <w:color w:val="000000" w:themeColor="text1"/>
          <w:u w:val="single"/>
        </w:rPr>
        <w:t>perform</w:t>
      </w:r>
      <w:r w:rsidRPr="0049493E" w:rsidR="00953574">
        <w:rPr>
          <w:color w:val="000000" w:themeColor="text1"/>
        </w:rPr>
        <w:t xml:space="preserve"> </w:t>
      </w:r>
      <w:r w:rsidRPr="0049493E" w:rsidR="00C95C97">
        <w:rPr>
          <w:color w:val="000000" w:themeColor="text1"/>
        </w:rPr>
        <w:t xml:space="preserve">and </w:t>
      </w:r>
      <w:r w:rsidRPr="0049493E" w:rsidR="00C95C97">
        <w:rPr>
          <w:color w:val="000000" w:themeColor="text1"/>
          <w:u w:val="single"/>
        </w:rPr>
        <w:t>verify</w:t>
      </w:r>
      <w:r w:rsidRPr="0049493E" w:rsidR="00C95C97">
        <w:rPr>
          <w:color w:val="000000" w:themeColor="text1"/>
        </w:rPr>
        <w:t xml:space="preserve"> </w:t>
      </w:r>
      <w:r w:rsidRPr="0049493E" w:rsidR="00953574">
        <w:rPr>
          <w:color w:val="000000" w:themeColor="text1"/>
        </w:rPr>
        <w:t xml:space="preserve">the </w:t>
      </w:r>
      <w:r w:rsidR="00FB4A2E">
        <w:rPr>
          <w:color w:val="000000" w:themeColor="text1"/>
        </w:rPr>
        <w:t xml:space="preserve">documented </w:t>
      </w:r>
      <w:r w:rsidRPr="0049493E" w:rsidR="00953574">
        <w:rPr>
          <w:color w:val="000000" w:themeColor="text1"/>
        </w:rPr>
        <w:t>medical decision making</w:t>
      </w:r>
      <w:r w:rsidRPr="0049493E" w:rsidR="003A47C9">
        <w:rPr>
          <w:color w:val="000000" w:themeColor="text1"/>
        </w:rPr>
        <w:t xml:space="preserve">. </w:t>
      </w:r>
    </w:p>
    <w:p w:rsidRPr="0049493E" w:rsidR="00A81702" w:rsidP="0049493E" w:rsidRDefault="00A13E92" w14:paraId="351B8AB9" w14:textId="3D00AC86">
      <w:pPr>
        <w:spacing w:line="278" w:lineRule="auto"/>
        <w:ind w:left="720"/>
        <w:rPr>
          <w:color w:val="000000" w:themeColor="text1"/>
        </w:rPr>
      </w:pPr>
      <w:r>
        <w:rPr>
          <w:b/>
          <w:bCs/>
          <w:color w:val="000000" w:themeColor="text1"/>
        </w:rPr>
        <w:t>*</w:t>
      </w:r>
      <w:r w:rsidRPr="0049493E" w:rsidR="00867A89">
        <w:rPr>
          <w:color w:val="000000" w:themeColor="text1"/>
        </w:rPr>
        <w:t>P</w:t>
      </w:r>
      <w:r w:rsidRPr="0049493E" w:rsidR="004502E2">
        <w:rPr>
          <w:color w:val="000000" w:themeColor="text1"/>
        </w:rPr>
        <w:t>erforming the medical decision</w:t>
      </w:r>
      <w:r w:rsidRPr="0049493E" w:rsidR="00D61569">
        <w:rPr>
          <w:color w:val="000000" w:themeColor="text1"/>
        </w:rPr>
        <w:t xml:space="preserve"> </w:t>
      </w:r>
      <w:r w:rsidRPr="0049493E" w:rsidR="004502E2">
        <w:rPr>
          <w:color w:val="000000" w:themeColor="text1"/>
        </w:rPr>
        <w:t xml:space="preserve">making </w:t>
      </w:r>
      <w:r w:rsidRPr="0049493E" w:rsidR="00867A89">
        <w:rPr>
          <w:color w:val="000000" w:themeColor="text1"/>
        </w:rPr>
        <w:t>refers</w:t>
      </w:r>
      <w:r w:rsidRPr="0049493E" w:rsidR="004502E2">
        <w:rPr>
          <w:color w:val="000000" w:themeColor="text1"/>
        </w:rPr>
        <w:t xml:space="preserve"> to the mental act of medical decision</w:t>
      </w:r>
      <w:r w:rsidRPr="0049493E" w:rsidR="00D61569">
        <w:rPr>
          <w:color w:val="000000" w:themeColor="text1"/>
        </w:rPr>
        <w:t xml:space="preserve"> </w:t>
      </w:r>
      <w:r w:rsidRPr="0049493E" w:rsidR="004502E2">
        <w:rPr>
          <w:color w:val="000000" w:themeColor="text1"/>
        </w:rPr>
        <w:t>making</w:t>
      </w:r>
      <w:r w:rsidRPr="0049493E" w:rsidR="00803397">
        <w:rPr>
          <w:color w:val="000000" w:themeColor="text1"/>
        </w:rPr>
        <w:t xml:space="preserve">; i.e. it does not require </w:t>
      </w:r>
      <w:r w:rsidR="00AD3AD1">
        <w:rPr>
          <w:color w:val="000000" w:themeColor="text1"/>
        </w:rPr>
        <w:t>the teaching physician</w:t>
      </w:r>
      <w:r w:rsidRPr="0049493E" w:rsidR="00803397">
        <w:rPr>
          <w:color w:val="000000" w:themeColor="text1"/>
        </w:rPr>
        <w:t xml:space="preserve"> to personally </w:t>
      </w:r>
      <w:r w:rsidRPr="0049493E" w:rsidR="00157981">
        <w:rPr>
          <w:color w:val="000000" w:themeColor="text1"/>
        </w:rPr>
        <w:t>counsel the patient</w:t>
      </w:r>
      <w:r w:rsidRPr="0049493E" w:rsidR="004502E2">
        <w:rPr>
          <w:color w:val="000000" w:themeColor="text1"/>
        </w:rPr>
        <w:t xml:space="preserve">. </w:t>
      </w:r>
      <w:r w:rsidRPr="0049493E" w:rsidR="00555DC2">
        <w:rPr>
          <w:color w:val="000000" w:themeColor="text1"/>
        </w:rPr>
        <w:t>However</w:t>
      </w:r>
      <w:r w:rsidRPr="0049493E" w:rsidR="004502E2">
        <w:rPr>
          <w:color w:val="000000" w:themeColor="text1"/>
        </w:rPr>
        <w:t xml:space="preserve">, teaching physicians </w:t>
      </w:r>
      <w:r w:rsidRPr="0049493E" w:rsidR="00571C52">
        <w:rPr>
          <w:color w:val="000000" w:themeColor="text1"/>
        </w:rPr>
        <w:t>(</w:t>
      </w:r>
      <w:r w:rsidRPr="0049493E" w:rsidR="007304CC">
        <w:rPr>
          <w:color w:val="000000" w:themeColor="text1"/>
        </w:rPr>
        <w:t xml:space="preserve">or </w:t>
      </w:r>
      <w:r w:rsidRPr="0049493E" w:rsidR="00571C52">
        <w:rPr>
          <w:color w:val="000000" w:themeColor="text1"/>
        </w:rPr>
        <w:t xml:space="preserve">capable </w:t>
      </w:r>
      <w:r w:rsidRPr="0049493E" w:rsidR="007304CC">
        <w:rPr>
          <w:color w:val="000000" w:themeColor="text1"/>
        </w:rPr>
        <w:t>residents</w:t>
      </w:r>
      <w:r w:rsidRPr="0049493E" w:rsidR="00571C52">
        <w:rPr>
          <w:color w:val="000000" w:themeColor="text1"/>
        </w:rPr>
        <w:t>)</w:t>
      </w:r>
      <w:r w:rsidRPr="0049493E" w:rsidR="007304CC">
        <w:rPr>
          <w:color w:val="000000" w:themeColor="text1"/>
        </w:rPr>
        <w:t xml:space="preserve"> </w:t>
      </w:r>
      <w:r w:rsidRPr="0049493E" w:rsidR="004502E2">
        <w:rPr>
          <w:color w:val="000000" w:themeColor="text1"/>
        </w:rPr>
        <w:t xml:space="preserve">must supervise </w:t>
      </w:r>
      <w:r w:rsidRPr="0049493E" w:rsidR="007304CC">
        <w:rPr>
          <w:color w:val="000000" w:themeColor="text1"/>
        </w:rPr>
        <w:t xml:space="preserve">all </w:t>
      </w:r>
      <w:r w:rsidRPr="0049493E" w:rsidR="004502E2">
        <w:rPr>
          <w:color w:val="000000" w:themeColor="text1"/>
        </w:rPr>
        <w:t>patient counseling done by students</w:t>
      </w:r>
      <w:r w:rsidRPr="0049493E" w:rsidR="007304CC">
        <w:rPr>
          <w:color w:val="000000" w:themeColor="text1"/>
        </w:rPr>
        <w:t xml:space="preserve">, and they are encouraged to discuss medical decision making with </w:t>
      </w:r>
      <w:r w:rsidRPr="0049493E" w:rsidR="00797DEB">
        <w:rPr>
          <w:color w:val="000000" w:themeColor="text1"/>
        </w:rPr>
        <w:t>trainees</w:t>
      </w:r>
      <w:r w:rsidRPr="0049493E" w:rsidR="007304CC">
        <w:rPr>
          <w:color w:val="000000" w:themeColor="text1"/>
        </w:rPr>
        <w:t xml:space="preserve"> for teaching purposes.</w:t>
      </w:r>
    </w:p>
    <w:p w:rsidR="00F75B94" w:rsidP="00F75B94" w:rsidRDefault="00A3162D" w14:paraId="162CCDB5" w14:textId="635840A1">
      <w:pPr>
        <w:spacing w:line="278" w:lineRule="auto"/>
        <w:rPr>
          <w:color w:val="000000" w:themeColor="text1"/>
        </w:rPr>
      </w:pPr>
      <w:r>
        <w:rPr>
          <w:color w:val="000000" w:themeColor="text1"/>
        </w:rPr>
        <w:t xml:space="preserve">See </w:t>
      </w:r>
      <w:r w:rsidR="00EB3E22">
        <w:rPr>
          <w:color w:val="000000" w:themeColor="text1"/>
        </w:rPr>
        <w:t xml:space="preserve">the “Quick Guide” at the end of this document for a summary of </w:t>
      </w:r>
      <w:r w:rsidR="00B75FE2">
        <w:rPr>
          <w:color w:val="000000" w:themeColor="text1"/>
        </w:rPr>
        <w:t>presence</w:t>
      </w:r>
      <w:r w:rsidR="00C63E9B">
        <w:rPr>
          <w:color w:val="000000" w:themeColor="text1"/>
        </w:rPr>
        <w:t xml:space="preserve">, </w:t>
      </w:r>
      <w:r w:rsidR="00B75FE2">
        <w:rPr>
          <w:color w:val="000000" w:themeColor="text1"/>
        </w:rPr>
        <w:t>verification</w:t>
      </w:r>
      <w:r w:rsidR="00C63E9B">
        <w:rPr>
          <w:color w:val="000000" w:themeColor="text1"/>
        </w:rPr>
        <w:t xml:space="preserve">, and performance </w:t>
      </w:r>
      <w:r w:rsidR="00B75FE2">
        <w:rPr>
          <w:color w:val="000000" w:themeColor="text1"/>
        </w:rPr>
        <w:t>requirements</w:t>
      </w:r>
      <w:r w:rsidR="00250258">
        <w:rPr>
          <w:color w:val="000000" w:themeColor="text1"/>
        </w:rPr>
        <w:t xml:space="preserve"> for different elements of a patient encounter documented by a medical student. </w:t>
      </w:r>
    </w:p>
    <w:p w:rsidRPr="00F75B94" w:rsidR="0093730E" w:rsidP="00F75B94" w:rsidRDefault="0093730E" w14:paraId="67BE854D" w14:textId="77777777">
      <w:pPr>
        <w:spacing w:line="278" w:lineRule="auto"/>
        <w:rPr>
          <w:color w:val="000000" w:themeColor="text1"/>
        </w:rPr>
      </w:pPr>
    </w:p>
    <w:p w:rsidRPr="000C21AC" w:rsidR="004B6314" w:rsidP="00A9559E" w:rsidRDefault="004B6314" w14:paraId="1EA14007" w14:textId="6B19B9A3">
      <w:pPr>
        <w:spacing w:line="278" w:lineRule="auto"/>
        <w:rPr>
          <w:b/>
          <w:bCs/>
          <w:color w:val="000000" w:themeColor="text1"/>
          <w:u w:val="single"/>
        </w:rPr>
      </w:pPr>
      <w:r w:rsidRPr="000C21AC">
        <w:rPr>
          <w:b/>
          <w:bCs/>
          <w:color w:val="000000" w:themeColor="text1"/>
          <w:u w:val="single"/>
        </w:rPr>
        <w:t>Attestations:</w:t>
      </w:r>
    </w:p>
    <w:p w:rsidRPr="00EA2B4A" w:rsidR="00EA2B4A" w:rsidP="00A9559E" w:rsidRDefault="00EA2B4A" w14:paraId="7C5770E0" w14:textId="6B626056">
      <w:pPr>
        <w:spacing w:line="278" w:lineRule="auto"/>
        <w:rPr>
          <w:color w:val="000000" w:themeColor="text1"/>
        </w:rPr>
      </w:pPr>
      <w:r>
        <w:rPr>
          <w:color w:val="000000" w:themeColor="text1"/>
        </w:rPr>
        <w:t xml:space="preserve">See sample workflows below for </w:t>
      </w:r>
      <w:r w:rsidR="00871A5C">
        <w:rPr>
          <w:color w:val="000000" w:themeColor="text1"/>
        </w:rPr>
        <w:t>how</w:t>
      </w:r>
      <w:r>
        <w:rPr>
          <w:color w:val="000000" w:themeColor="text1"/>
        </w:rPr>
        <w:t xml:space="preserve"> these should be used.</w:t>
      </w:r>
    </w:p>
    <w:p w:rsidR="004B6314" w:rsidP="00A9559E" w:rsidRDefault="004B6314" w14:paraId="2B222064" w14:textId="77777777">
      <w:pPr>
        <w:spacing w:line="278" w:lineRule="auto"/>
        <w:rPr>
          <w:color w:val="000000" w:themeColor="text1"/>
        </w:rPr>
      </w:pPr>
      <w:proofErr w:type="gramStart"/>
      <w:r w:rsidRPr="004B6314">
        <w:rPr>
          <w:color w:val="000000" w:themeColor="text1"/>
        </w:rPr>
        <w:t>.ATTMSCOMPLETE</w:t>
      </w:r>
      <w:proofErr w:type="gramEnd"/>
    </w:p>
    <w:p w:rsidRPr="004B6314" w:rsidR="00871A5C" w:rsidP="00601383" w:rsidRDefault="00871A5C" w14:paraId="5A804A18" w14:textId="6B6025DF">
      <w:pPr>
        <w:spacing w:line="278" w:lineRule="auto"/>
        <w:ind w:left="720"/>
        <w:rPr>
          <w:color w:val="000000" w:themeColor="text1"/>
        </w:rPr>
      </w:pPr>
      <w:r>
        <w:rPr>
          <w:color w:val="000000" w:themeColor="text1"/>
        </w:rPr>
        <w:t xml:space="preserve">Teaching physician attests to both </w:t>
      </w:r>
      <w:r w:rsidR="009F08A6">
        <w:rPr>
          <w:color w:val="000000" w:themeColor="text1"/>
        </w:rPr>
        <w:t xml:space="preserve">presence with the medical student </w:t>
      </w:r>
      <w:r>
        <w:rPr>
          <w:color w:val="000000" w:themeColor="text1"/>
        </w:rPr>
        <w:t>and verification</w:t>
      </w:r>
      <w:r w:rsidR="00601383">
        <w:rPr>
          <w:color w:val="000000" w:themeColor="text1"/>
        </w:rPr>
        <w:t xml:space="preserve"> of their documentation</w:t>
      </w:r>
      <w:r>
        <w:rPr>
          <w:color w:val="000000" w:themeColor="text1"/>
        </w:rPr>
        <w:t>.</w:t>
      </w:r>
    </w:p>
    <w:p w:rsidRPr="004B6314" w:rsidR="004B6314" w:rsidP="00601383" w:rsidRDefault="004B6314" w14:paraId="5741599E" w14:textId="77777777">
      <w:pPr>
        <w:spacing w:line="278" w:lineRule="auto"/>
        <w:ind w:left="720"/>
        <w:rPr>
          <w:color w:val="000000" w:themeColor="text1"/>
        </w:rPr>
      </w:pPr>
      <w:r w:rsidRPr="004B6314">
        <w:rPr>
          <w:color w:val="000000" w:themeColor="text1"/>
        </w:rPr>
        <w:t xml:space="preserve">“I was present with the medical student. I personally performed the physical examination and medical decision making. I have verified </w:t>
      </w:r>
      <w:proofErr w:type="gramStart"/>
      <w:r w:rsidRPr="004B6314">
        <w:rPr>
          <w:color w:val="000000" w:themeColor="text1"/>
        </w:rPr>
        <w:t>all of</w:t>
      </w:r>
      <w:proofErr w:type="gramEnd"/>
      <w:r w:rsidRPr="004B6314">
        <w:rPr>
          <w:color w:val="000000" w:themeColor="text1"/>
        </w:rPr>
        <w:t xml:space="preserve"> the medical student’s documentation for this encounter.”</w:t>
      </w:r>
    </w:p>
    <w:p w:rsidR="004B6314" w:rsidP="00A9559E" w:rsidRDefault="004B6314" w14:paraId="0117F292" w14:textId="77777777">
      <w:pPr>
        <w:spacing w:line="278" w:lineRule="auto"/>
        <w:rPr>
          <w:color w:val="000000" w:themeColor="text1"/>
        </w:rPr>
      </w:pPr>
      <w:proofErr w:type="gramStart"/>
      <w:r w:rsidRPr="004B6314">
        <w:rPr>
          <w:color w:val="000000" w:themeColor="text1"/>
        </w:rPr>
        <w:t>.RESMSPRESENCE</w:t>
      </w:r>
      <w:proofErr w:type="gramEnd"/>
    </w:p>
    <w:p w:rsidRPr="004B6314" w:rsidR="00871A5C" w:rsidP="00601383" w:rsidRDefault="00871A5C" w14:paraId="2EC17BAB" w14:textId="23B69862">
      <w:pPr>
        <w:spacing w:line="278" w:lineRule="auto"/>
        <w:ind w:left="720"/>
        <w:rPr>
          <w:color w:val="000000" w:themeColor="text1"/>
        </w:rPr>
      </w:pPr>
      <w:r>
        <w:rPr>
          <w:color w:val="000000" w:themeColor="text1"/>
        </w:rPr>
        <w:t>Resident attests to presence</w:t>
      </w:r>
      <w:r w:rsidR="009F08A6">
        <w:rPr>
          <w:color w:val="000000" w:themeColor="text1"/>
        </w:rPr>
        <w:t xml:space="preserve"> with the medical student</w:t>
      </w:r>
      <w:r>
        <w:rPr>
          <w:color w:val="000000" w:themeColor="text1"/>
        </w:rPr>
        <w:t>.</w:t>
      </w:r>
      <w:r w:rsidR="00EC0727">
        <w:rPr>
          <w:color w:val="000000" w:themeColor="text1"/>
        </w:rPr>
        <w:t xml:space="preserve"> This is rarely necessary with our typical workflows.</w:t>
      </w:r>
    </w:p>
    <w:p w:rsidRPr="004B6314" w:rsidR="004B6314" w:rsidP="00601383" w:rsidRDefault="004B6314" w14:paraId="0EC17B4C" w14:textId="77777777">
      <w:pPr>
        <w:spacing w:line="278" w:lineRule="auto"/>
        <w:ind w:left="720"/>
        <w:rPr>
          <w:color w:val="000000" w:themeColor="text1"/>
        </w:rPr>
      </w:pPr>
      <w:r w:rsidRPr="004B6314">
        <w:rPr>
          <w:color w:val="000000" w:themeColor="text1"/>
        </w:rPr>
        <w:t>“I was present with the medical student.”</w:t>
      </w:r>
    </w:p>
    <w:p w:rsidR="004B6314" w:rsidP="00A9559E" w:rsidRDefault="004B6314" w14:paraId="2FA3C530" w14:textId="77777777">
      <w:pPr>
        <w:spacing w:line="278" w:lineRule="auto"/>
        <w:rPr>
          <w:color w:val="000000" w:themeColor="text1"/>
        </w:rPr>
      </w:pPr>
      <w:proofErr w:type="gramStart"/>
      <w:r w:rsidRPr="004B6314">
        <w:rPr>
          <w:color w:val="000000" w:themeColor="text1"/>
        </w:rPr>
        <w:t>.ATTMSVERIFY</w:t>
      </w:r>
      <w:proofErr w:type="gramEnd"/>
    </w:p>
    <w:p w:rsidRPr="004B6314" w:rsidR="009F08A6" w:rsidP="00601383" w:rsidRDefault="009F08A6" w14:paraId="5936AC14" w14:textId="4D438F41">
      <w:pPr>
        <w:spacing w:line="278" w:lineRule="auto"/>
        <w:ind w:left="720"/>
        <w:rPr>
          <w:color w:val="000000" w:themeColor="text1"/>
        </w:rPr>
      </w:pPr>
      <w:r>
        <w:rPr>
          <w:color w:val="000000" w:themeColor="text1"/>
        </w:rPr>
        <w:lastRenderedPageBreak/>
        <w:t>Teac</w:t>
      </w:r>
      <w:r w:rsidR="00002212">
        <w:rPr>
          <w:color w:val="000000" w:themeColor="text1"/>
        </w:rPr>
        <w:t>hing</w:t>
      </w:r>
      <w:r>
        <w:rPr>
          <w:color w:val="000000" w:themeColor="text1"/>
        </w:rPr>
        <w:t xml:space="preserve"> physician </w:t>
      </w:r>
      <w:r w:rsidR="00601383">
        <w:rPr>
          <w:color w:val="000000" w:themeColor="text1"/>
        </w:rPr>
        <w:t xml:space="preserve">only </w:t>
      </w:r>
      <w:r>
        <w:rPr>
          <w:color w:val="000000" w:themeColor="text1"/>
        </w:rPr>
        <w:t>attests to verification of medical student documentation</w:t>
      </w:r>
      <w:r w:rsidR="00BF3007">
        <w:rPr>
          <w:color w:val="000000" w:themeColor="text1"/>
        </w:rPr>
        <w:t xml:space="preserve"> in situations where they were not ever present with the medical student</w:t>
      </w:r>
      <w:r w:rsidR="00773906">
        <w:rPr>
          <w:color w:val="000000" w:themeColor="text1"/>
        </w:rPr>
        <w:t>. This means the resident has fulfilled</w:t>
      </w:r>
      <w:r w:rsidR="00697639">
        <w:rPr>
          <w:color w:val="000000" w:themeColor="text1"/>
        </w:rPr>
        <w:t xml:space="preserve"> the presence requirement</w:t>
      </w:r>
      <w:r w:rsidR="00773906">
        <w:rPr>
          <w:color w:val="000000" w:themeColor="text1"/>
        </w:rPr>
        <w:t>, so this should be used</w:t>
      </w:r>
      <w:r w:rsidR="0065315A">
        <w:rPr>
          <w:color w:val="000000" w:themeColor="text1"/>
        </w:rPr>
        <w:t xml:space="preserve"> </w:t>
      </w:r>
      <w:proofErr w:type="gramStart"/>
      <w:r w:rsidR="0065315A">
        <w:rPr>
          <w:color w:val="000000" w:themeColor="text1"/>
        </w:rPr>
        <w:t>with .RESMSPRESENCE</w:t>
      </w:r>
      <w:proofErr w:type="gramEnd"/>
      <w:r w:rsidR="00697639">
        <w:rPr>
          <w:color w:val="000000" w:themeColor="text1"/>
        </w:rPr>
        <w:t xml:space="preserve"> above. </w:t>
      </w:r>
      <w:r w:rsidR="008C786F">
        <w:rPr>
          <w:color w:val="000000" w:themeColor="text1"/>
        </w:rPr>
        <w:t>Again, this is rarely necessary with our typical workflows.</w:t>
      </w:r>
    </w:p>
    <w:p w:rsidRPr="00EA2B4A" w:rsidR="00BE5F58" w:rsidP="00601383" w:rsidRDefault="004B6314" w14:paraId="24CD52A0" w14:textId="79A39633">
      <w:pPr>
        <w:spacing w:line="278" w:lineRule="auto"/>
        <w:ind w:left="720"/>
        <w:rPr>
          <w:color w:val="000000" w:themeColor="text1"/>
        </w:rPr>
      </w:pPr>
      <w:r w:rsidRPr="004B6314">
        <w:rPr>
          <w:color w:val="000000" w:themeColor="text1"/>
        </w:rPr>
        <w:t xml:space="preserve">“I personally performed the physical examination and medical decision making. I have verified </w:t>
      </w:r>
      <w:proofErr w:type="gramStart"/>
      <w:r w:rsidRPr="004B6314">
        <w:rPr>
          <w:color w:val="000000" w:themeColor="text1"/>
        </w:rPr>
        <w:t>all of</w:t>
      </w:r>
      <w:proofErr w:type="gramEnd"/>
      <w:r w:rsidRPr="004B6314">
        <w:rPr>
          <w:color w:val="000000" w:themeColor="text1"/>
        </w:rPr>
        <w:t xml:space="preserve"> the medical student’s documentation for this encounter.”</w:t>
      </w:r>
    </w:p>
    <w:p w:rsidR="00EA2B4A" w:rsidP="00D55C61" w:rsidRDefault="00EA2B4A" w14:paraId="2FB419C6" w14:textId="77777777">
      <w:pPr>
        <w:pStyle w:val="ListParagraph"/>
        <w:spacing w:line="278" w:lineRule="auto"/>
        <w:ind w:left="0"/>
        <w:contextualSpacing w:val="0"/>
        <w:rPr>
          <w:b/>
          <w:bCs/>
          <w:color w:val="000000" w:themeColor="text1"/>
        </w:rPr>
      </w:pPr>
    </w:p>
    <w:p w:rsidRPr="000C21AC" w:rsidR="00C63FBD" w:rsidP="00D55C61" w:rsidRDefault="00C63FBD" w14:paraId="0C0FEE64" w14:textId="3E2B68C9">
      <w:pPr>
        <w:pStyle w:val="ListParagraph"/>
        <w:spacing w:line="278" w:lineRule="auto"/>
        <w:ind w:left="0"/>
        <w:contextualSpacing w:val="0"/>
        <w:rPr>
          <w:b/>
          <w:bCs/>
          <w:color w:val="000000" w:themeColor="text1"/>
          <w:u w:val="single"/>
        </w:rPr>
      </w:pPr>
      <w:r w:rsidRPr="000C21AC">
        <w:rPr>
          <w:b/>
          <w:bCs/>
          <w:color w:val="000000" w:themeColor="text1"/>
          <w:u w:val="single"/>
        </w:rPr>
        <w:t>Billing:</w:t>
      </w:r>
    </w:p>
    <w:p w:rsidR="00C63FBD" w:rsidP="00D55C61" w:rsidRDefault="00ED6D30" w14:paraId="4B714C62" w14:textId="1D82E379">
      <w:pPr>
        <w:pStyle w:val="ListParagraph"/>
        <w:spacing w:line="278" w:lineRule="auto"/>
        <w:ind w:left="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If </w:t>
      </w:r>
      <w:r w:rsidR="00204B10">
        <w:rPr>
          <w:color w:val="000000" w:themeColor="text1"/>
        </w:rPr>
        <w:t>all</w:t>
      </w:r>
      <w:r>
        <w:rPr>
          <w:color w:val="000000" w:themeColor="text1"/>
        </w:rPr>
        <w:t xml:space="preserve"> the above requirements are fulfilled </w:t>
      </w:r>
      <w:r w:rsidR="001B658F">
        <w:rPr>
          <w:color w:val="000000" w:themeColor="text1"/>
        </w:rPr>
        <w:t>– which</w:t>
      </w:r>
      <w:r w:rsidR="00164736">
        <w:rPr>
          <w:color w:val="000000" w:themeColor="text1"/>
        </w:rPr>
        <w:t xml:space="preserve"> means that all </w:t>
      </w:r>
      <w:r w:rsidR="002267D7">
        <w:rPr>
          <w:color w:val="000000" w:themeColor="text1"/>
        </w:rPr>
        <w:t xml:space="preserve">that is documented in the medical student note represents the </w:t>
      </w:r>
      <w:r w:rsidR="001A55DC">
        <w:rPr>
          <w:color w:val="000000" w:themeColor="text1"/>
        </w:rPr>
        <w:t>teaching physician’s own work</w:t>
      </w:r>
      <w:r w:rsidR="001B658F">
        <w:rPr>
          <w:color w:val="000000" w:themeColor="text1"/>
        </w:rPr>
        <w:t xml:space="preserve"> – and</w:t>
      </w:r>
      <w:r w:rsidR="006E2B4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the appropriate attestations are used, </w:t>
      </w:r>
      <w:r w:rsidR="006E2B47">
        <w:rPr>
          <w:color w:val="000000" w:themeColor="text1"/>
        </w:rPr>
        <w:t>teaching physicians can use the medical student note to bill just as they normally would</w:t>
      </w:r>
      <w:r w:rsidR="00204B10">
        <w:rPr>
          <w:color w:val="000000" w:themeColor="text1"/>
        </w:rPr>
        <w:t xml:space="preserve"> </w:t>
      </w:r>
      <w:proofErr w:type="spellStart"/>
      <w:proofErr w:type="gramStart"/>
      <w:r w:rsidR="00050BF2">
        <w:rPr>
          <w:color w:val="000000" w:themeColor="text1"/>
        </w:rPr>
        <w:t>based</w:t>
      </w:r>
      <w:proofErr w:type="spellEnd"/>
      <w:proofErr w:type="gramEnd"/>
      <w:r w:rsidR="00050BF2">
        <w:rPr>
          <w:color w:val="000000" w:themeColor="text1"/>
        </w:rPr>
        <w:t xml:space="preserve"> on </w:t>
      </w:r>
      <w:r w:rsidR="00204B10">
        <w:rPr>
          <w:color w:val="000000" w:themeColor="text1"/>
        </w:rPr>
        <w:t>medical decision</w:t>
      </w:r>
      <w:r w:rsidR="00050BF2">
        <w:rPr>
          <w:color w:val="000000" w:themeColor="text1"/>
        </w:rPr>
        <w:t xml:space="preserve"> </w:t>
      </w:r>
      <w:r w:rsidR="00204B10">
        <w:rPr>
          <w:color w:val="000000" w:themeColor="text1"/>
        </w:rPr>
        <w:t>making</w:t>
      </w:r>
      <w:r w:rsidR="0031267F">
        <w:rPr>
          <w:color w:val="000000" w:themeColor="text1"/>
        </w:rPr>
        <w:t>.</w:t>
      </w:r>
    </w:p>
    <w:p w:rsidRPr="00204B10" w:rsidR="00325DFC" w:rsidP="00D55C61" w:rsidRDefault="00325DFC" w14:paraId="7F2671A3" w14:textId="2FF5F41B">
      <w:pPr>
        <w:pStyle w:val="ListParagraph"/>
        <w:spacing w:line="278" w:lineRule="auto"/>
        <w:ind w:left="0"/>
        <w:contextualSpacing w:val="0"/>
        <w:rPr>
          <w:i/>
          <w:iCs/>
          <w:color w:val="000000" w:themeColor="text1"/>
        </w:rPr>
      </w:pPr>
      <w:r>
        <w:rPr>
          <w:color w:val="000000" w:themeColor="text1"/>
        </w:rPr>
        <w:t xml:space="preserve">Teaching physicians are </w:t>
      </w:r>
      <w:r w:rsidRPr="00071286">
        <w:rPr>
          <w:color w:val="000000" w:themeColor="text1"/>
        </w:rPr>
        <w:t>not required to use</w:t>
      </w:r>
      <w:r>
        <w:rPr>
          <w:color w:val="000000" w:themeColor="text1"/>
        </w:rPr>
        <w:t xml:space="preserve"> the medical student note</w:t>
      </w:r>
      <w:r w:rsidRPr="00071286">
        <w:rPr>
          <w:color w:val="000000" w:themeColor="text1"/>
        </w:rPr>
        <w:t xml:space="preserve"> for billing. </w:t>
      </w:r>
      <w:r>
        <w:rPr>
          <w:color w:val="000000" w:themeColor="text1"/>
        </w:rPr>
        <w:t xml:space="preserve">They can always bill </w:t>
      </w:r>
      <w:proofErr w:type="gramStart"/>
      <w:r>
        <w:rPr>
          <w:color w:val="000000" w:themeColor="text1"/>
        </w:rPr>
        <w:t>off of</w:t>
      </w:r>
      <w:proofErr w:type="gramEnd"/>
      <w:r>
        <w:rPr>
          <w:color w:val="000000" w:themeColor="text1"/>
        </w:rPr>
        <w:t xml:space="preserve"> their own standalone note. However, they would still need to attest to or co-sign the medical student note, and they are thereby responsible for the information that note conveys in the patient chart.</w:t>
      </w:r>
    </w:p>
    <w:p w:rsidR="0050139A" w:rsidP="00DC3EFC" w:rsidRDefault="0050139A" w14:paraId="0BAD4282" w14:textId="77777777">
      <w:pPr>
        <w:spacing w:line="278" w:lineRule="auto"/>
        <w:rPr>
          <w:b/>
          <w:bCs/>
          <w:color w:val="000000" w:themeColor="text1"/>
        </w:rPr>
      </w:pPr>
    </w:p>
    <w:p w:rsidRPr="000C21AC" w:rsidR="00DC3EFC" w:rsidP="00DC3EFC" w:rsidRDefault="00DC3EFC" w14:paraId="7FBBD140" w14:textId="390B9058">
      <w:pPr>
        <w:spacing w:line="278" w:lineRule="auto"/>
        <w:rPr>
          <w:b/>
          <w:bCs/>
          <w:color w:val="000000" w:themeColor="text1"/>
          <w:u w:val="single"/>
        </w:rPr>
      </w:pPr>
      <w:r w:rsidRPr="000C21AC">
        <w:rPr>
          <w:b/>
          <w:bCs/>
          <w:color w:val="000000" w:themeColor="text1"/>
          <w:u w:val="single"/>
        </w:rPr>
        <w:t>Non-billable notes:</w:t>
      </w:r>
    </w:p>
    <w:p w:rsidRPr="0076115E" w:rsidR="00DC3EFC" w:rsidP="00DC3EFC" w:rsidRDefault="00DC3EFC" w14:paraId="6357704B" w14:textId="0D21D274">
      <w:pPr>
        <w:spacing w:line="278" w:lineRule="auto"/>
        <w:rPr>
          <w:color w:val="000000" w:themeColor="text1"/>
        </w:rPr>
      </w:pPr>
      <w:r w:rsidRPr="0076115E">
        <w:rPr>
          <w:color w:val="000000" w:themeColor="text1"/>
        </w:rPr>
        <w:t xml:space="preserve">In </w:t>
      </w:r>
      <w:r>
        <w:rPr>
          <w:color w:val="000000" w:themeColor="text1"/>
        </w:rPr>
        <w:t xml:space="preserve">some situations, </w:t>
      </w:r>
      <w:r w:rsidR="007D10C4">
        <w:rPr>
          <w:color w:val="000000" w:themeColor="text1"/>
        </w:rPr>
        <w:t xml:space="preserve">medical students </w:t>
      </w:r>
      <w:r>
        <w:rPr>
          <w:color w:val="000000" w:themeColor="text1"/>
        </w:rPr>
        <w:t>may write notes that are not billed. This is common on the consult service, for example, when following up imaging or EEG findings without seeing the patient. T</w:t>
      </w:r>
      <w:r w:rsidRPr="0076115E">
        <w:rPr>
          <w:color w:val="000000" w:themeColor="text1"/>
        </w:rPr>
        <w:t>he teaching physician must still verify the accuracy of the note, and use the following attestation:</w:t>
      </w:r>
    </w:p>
    <w:p w:rsidRPr="00DA1834" w:rsidR="00DC3EFC" w:rsidP="00DC3EFC" w:rsidRDefault="00DC3EFC" w14:paraId="28E3EB5E" w14:textId="13FF8170">
      <w:pPr>
        <w:pStyle w:val="ListParagraph"/>
        <w:spacing w:line="278" w:lineRule="auto"/>
        <w:ind w:left="360"/>
        <w:contextualSpacing w:val="0"/>
        <w:rPr>
          <w:color w:val="000000" w:themeColor="text1"/>
        </w:rPr>
      </w:pPr>
      <w:r w:rsidRPr="00DA1834">
        <w:rPr>
          <w:color w:val="000000" w:themeColor="text1"/>
        </w:rPr>
        <w:t>“I did not see the patient</w:t>
      </w:r>
      <w:r w:rsidR="004E4F84">
        <w:rPr>
          <w:color w:val="000000" w:themeColor="text1"/>
        </w:rPr>
        <w:t xml:space="preserve"> but have reviewed the medical student(s)’s documentation.”</w:t>
      </w:r>
    </w:p>
    <w:p w:rsidR="00204B10" w:rsidP="00D55C61" w:rsidRDefault="00204B10" w14:paraId="50BCE8F5" w14:textId="77777777">
      <w:pPr>
        <w:pStyle w:val="ListParagraph"/>
        <w:spacing w:line="278" w:lineRule="auto"/>
        <w:ind w:left="0"/>
        <w:contextualSpacing w:val="0"/>
        <w:rPr>
          <w:color w:val="000000" w:themeColor="text1"/>
        </w:rPr>
      </w:pPr>
    </w:p>
    <w:p w:rsidRPr="000C21AC" w:rsidR="00071286" w:rsidP="009D3AED" w:rsidRDefault="0031267F" w14:paraId="069878C9" w14:textId="7258FA0E">
      <w:pPr>
        <w:pStyle w:val="ListParagraph"/>
        <w:spacing w:line="278" w:lineRule="auto"/>
        <w:ind w:left="0"/>
        <w:contextualSpacing w:val="0"/>
        <w:rPr>
          <w:b/>
          <w:bCs/>
          <w:color w:val="000000" w:themeColor="text1"/>
          <w:u w:val="single"/>
        </w:rPr>
      </w:pPr>
      <w:r w:rsidRPr="000C21AC">
        <w:rPr>
          <w:b/>
          <w:bCs/>
          <w:color w:val="000000" w:themeColor="text1"/>
          <w:u w:val="single"/>
        </w:rPr>
        <w:t>Best Practices:</w:t>
      </w:r>
    </w:p>
    <w:p w:rsidR="009D3AED" w:rsidP="00071286" w:rsidRDefault="009D3AED" w14:paraId="293A2457" w14:textId="14EEBA72">
      <w:pPr>
        <w:pStyle w:val="ListParagraph"/>
        <w:numPr>
          <w:ilvl w:val="0"/>
          <w:numId w:val="18"/>
        </w:numPr>
        <w:spacing w:line="278" w:lineRule="auto"/>
        <w:rPr>
          <w:color w:val="000000" w:themeColor="text1"/>
        </w:rPr>
      </w:pPr>
      <w:r>
        <w:rPr>
          <w:color w:val="000000" w:themeColor="text1"/>
        </w:rPr>
        <w:t>A</w:t>
      </w:r>
      <w:r w:rsidR="00A62410">
        <w:rPr>
          <w:color w:val="000000" w:themeColor="text1"/>
        </w:rPr>
        <w:t>ny</w:t>
      </w:r>
      <w:r>
        <w:rPr>
          <w:color w:val="000000" w:themeColor="text1"/>
        </w:rPr>
        <w:t xml:space="preserve"> </w:t>
      </w:r>
      <w:r w:rsidR="002606AC">
        <w:rPr>
          <w:color w:val="000000" w:themeColor="text1"/>
        </w:rPr>
        <w:t xml:space="preserve">patient </w:t>
      </w:r>
      <w:r w:rsidR="00BC1DBC">
        <w:rPr>
          <w:color w:val="000000" w:themeColor="text1"/>
        </w:rPr>
        <w:t xml:space="preserve">assigned to </w:t>
      </w:r>
      <w:r w:rsidR="00A62410">
        <w:rPr>
          <w:color w:val="000000" w:themeColor="text1"/>
        </w:rPr>
        <w:t xml:space="preserve">a </w:t>
      </w:r>
      <w:r w:rsidR="00BC1DBC">
        <w:rPr>
          <w:color w:val="000000" w:themeColor="text1"/>
        </w:rPr>
        <w:t xml:space="preserve">medical student </w:t>
      </w:r>
      <w:r w:rsidR="00601FEA">
        <w:rPr>
          <w:color w:val="000000" w:themeColor="text1"/>
        </w:rPr>
        <w:t xml:space="preserve">MUST </w:t>
      </w:r>
      <w:r w:rsidR="00BC1DBC">
        <w:rPr>
          <w:color w:val="000000" w:themeColor="text1"/>
        </w:rPr>
        <w:t>also</w:t>
      </w:r>
      <w:r w:rsidR="002606AC">
        <w:rPr>
          <w:color w:val="000000" w:themeColor="text1"/>
        </w:rPr>
        <w:t xml:space="preserve"> be assigned to a resident</w:t>
      </w:r>
      <w:r w:rsidR="0018069A">
        <w:rPr>
          <w:color w:val="000000" w:themeColor="text1"/>
        </w:rPr>
        <w:t>.</w:t>
      </w:r>
    </w:p>
    <w:p w:rsidR="000946F5" w:rsidP="00F65D11" w:rsidRDefault="000946F5" w14:paraId="7EE7CC9D" w14:textId="4ED4342A">
      <w:pPr>
        <w:pStyle w:val="ListParagraph"/>
        <w:numPr>
          <w:ilvl w:val="0"/>
          <w:numId w:val="18"/>
        </w:numPr>
        <w:spacing w:line="278" w:lineRule="auto"/>
        <w:rPr>
          <w:color w:val="000000" w:themeColor="text1"/>
        </w:rPr>
      </w:pPr>
      <w:r w:rsidRPr="00071286">
        <w:rPr>
          <w:color w:val="000000" w:themeColor="text1"/>
        </w:rPr>
        <w:t xml:space="preserve">Residents are expected to </w:t>
      </w:r>
      <w:r w:rsidR="00F65D11">
        <w:rPr>
          <w:color w:val="000000" w:themeColor="text1"/>
        </w:rPr>
        <w:t xml:space="preserve">supervise medical students following their patients. This includes </w:t>
      </w:r>
      <w:r w:rsidR="00D77377">
        <w:rPr>
          <w:color w:val="000000" w:themeColor="text1"/>
        </w:rPr>
        <w:t>seeing patients with medical students</w:t>
      </w:r>
      <w:r w:rsidR="00DB3CF5">
        <w:rPr>
          <w:color w:val="000000" w:themeColor="text1"/>
        </w:rPr>
        <w:t xml:space="preserve">, </w:t>
      </w:r>
      <w:r w:rsidR="00F23DE9">
        <w:rPr>
          <w:color w:val="000000" w:themeColor="text1"/>
        </w:rPr>
        <w:t>supervising patient counseling</w:t>
      </w:r>
      <w:r w:rsidR="00DB3CF5">
        <w:rPr>
          <w:color w:val="000000" w:themeColor="text1"/>
        </w:rPr>
        <w:t>,</w:t>
      </w:r>
      <w:r w:rsidR="00F72E74">
        <w:rPr>
          <w:color w:val="000000" w:themeColor="text1"/>
        </w:rPr>
        <w:t xml:space="preserve"> and </w:t>
      </w:r>
      <w:r w:rsidRPr="00071286">
        <w:rPr>
          <w:color w:val="000000" w:themeColor="text1"/>
        </w:rPr>
        <w:t>review</w:t>
      </w:r>
      <w:r w:rsidR="00F23DE9">
        <w:rPr>
          <w:color w:val="000000" w:themeColor="text1"/>
        </w:rPr>
        <w:t xml:space="preserve">ing </w:t>
      </w:r>
      <w:r w:rsidRPr="00071286">
        <w:rPr>
          <w:color w:val="000000" w:themeColor="text1"/>
        </w:rPr>
        <w:t>medical student notes</w:t>
      </w:r>
      <w:r w:rsidR="00220D0A">
        <w:rPr>
          <w:color w:val="000000" w:themeColor="text1"/>
        </w:rPr>
        <w:t xml:space="preserve"> for accuracy</w:t>
      </w:r>
      <w:r w:rsidR="008E7809">
        <w:rPr>
          <w:color w:val="000000" w:themeColor="text1"/>
        </w:rPr>
        <w:t xml:space="preserve">, </w:t>
      </w:r>
      <w:r w:rsidR="00F23DE9">
        <w:rPr>
          <w:color w:val="000000" w:themeColor="text1"/>
        </w:rPr>
        <w:t>providing feedback and edi</w:t>
      </w:r>
      <w:r w:rsidR="008E7809">
        <w:rPr>
          <w:color w:val="000000" w:themeColor="text1"/>
        </w:rPr>
        <w:t>t</w:t>
      </w:r>
      <w:r w:rsidR="004C654D">
        <w:rPr>
          <w:color w:val="000000" w:themeColor="text1"/>
        </w:rPr>
        <w:t>ing</w:t>
      </w:r>
      <w:r w:rsidR="00F23DE9">
        <w:rPr>
          <w:color w:val="000000" w:themeColor="text1"/>
        </w:rPr>
        <w:t xml:space="preserve"> as appropriate.</w:t>
      </w:r>
      <w:r>
        <w:rPr>
          <w:color w:val="000000" w:themeColor="text1"/>
        </w:rPr>
        <w:t xml:space="preserve"> </w:t>
      </w:r>
      <w:r w:rsidR="00A92E2B">
        <w:rPr>
          <w:color w:val="000000" w:themeColor="text1"/>
        </w:rPr>
        <w:t>This</w:t>
      </w:r>
      <w:r w:rsidRPr="00094388">
        <w:rPr>
          <w:color w:val="000000" w:themeColor="text1"/>
        </w:rPr>
        <w:t xml:space="preserve"> does not replace the requirement for teaching physician verification</w:t>
      </w:r>
      <w:r w:rsidR="00F72E74">
        <w:rPr>
          <w:color w:val="000000" w:themeColor="text1"/>
        </w:rPr>
        <w:t xml:space="preserve"> of medical student documentation. </w:t>
      </w:r>
    </w:p>
    <w:p w:rsidRPr="00665D5F" w:rsidR="00665D5F" w:rsidP="00665D5F" w:rsidRDefault="00665D5F" w14:paraId="4749F53D" w14:textId="518F7211">
      <w:pPr>
        <w:pStyle w:val="ListParagraph"/>
        <w:numPr>
          <w:ilvl w:val="0"/>
          <w:numId w:val="18"/>
        </w:numPr>
        <w:spacing w:line="278" w:lineRule="auto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Medical students should always </w:t>
      </w:r>
      <w:r w:rsidRPr="008027B6">
        <w:rPr>
          <w:i/>
          <w:iCs/>
          <w:color w:val="000000" w:themeColor="text1"/>
        </w:rPr>
        <w:t>share</w:t>
      </w:r>
      <w:r>
        <w:rPr>
          <w:color w:val="000000" w:themeColor="text1"/>
        </w:rPr>
        <w:t xml:space="preserve"> their notes in Epic to allow their resident to review. They should never </w:t>
      </w:r>
      <w:r w:rsidRPr="008027B6">
        <w:rPr>
          <w:i/>
          <w:iCs/>
          <w:color w:val="000000" w:themeColor="text1"/>
        </w:rPr>
        <w:t>sign</w:t>
      </w:r>
      <w:r>
        <w:rPr>
          <w:color w:val="000000" w:themeColor="text1"/>
        </w:rPr>
        <w:t xml:space="preserve"> a note without the explicit approval of their resident. </w:t>
      </w:r>
    </w:p>
    <w:p w:rsidR="00480B84" w:rsidP="00071286" w:rsidRDefault="00480B84" w14:paraId="2843048A" w14:textId="56AAFEDF">
      <w:pPr>
        <w:pStyle w:val="ListParagraph"/>
        <w:numPr>
          <w:ilvl w:val="0"/>
          <w:numId w:val="18"/>
        </w:numPr>
        <w:spacing w:line="278" w:lineRule="auto"/>
        <w:rPr>
          <w:color w:val="000000" w:themeColor="text1"/>
        </w:rPr>
      </w:pPr>
      <w:r>
        <w:rPr>
          <w:color w:val="000000" w:themeColor="text1"/>
        </w:rPr>
        <w:t xml:space="preserve">Only approved Epic note templates </w:t>
      </w:r>
      <w:r w:rsidR="00A62410">
        <w:rPr>
          <w:color w:val="000000" w:themeColor="text1"/>
        </w:rPr>
        <w:t xml:space="preserve">should be used. </w:t>
      </w:r>
      <w:r w:rsidR="004B04D6">
        <w:rPr>
          <w:color w:val="000000" w:themeColor="text1"/>
        </w:rPr>
        <w:t xml:space="preserve">Medical students should not be using click-through </w:t>
      </w:r>
      <w:proofErr w:type="spellStart"/>
      <w:r w:rsidR="004B04D6">
        <w:rPr>
          <w:color w:val="000000" w:themeColor="text1"/>
        </w:rPr>
        <w:t>Notewriter</w:t>
      </w:r>
      <w:proofErr w:type="spellEnd"/>
      <w:r w:rsidR="004B04D6">
        <w:rPr>
          <w:color w:val="000000" w:themeColor="text1"/>
        </w:rPr>
        <w:t xml:space="preserve"> templates. </w:t>
      </w:r>
    </w:p>
    <w:p w:rsidRPr="00071286" w:rsidR="005153DA" w:rsidP="00071286" w:rsidRDefault="00AC4744" w14:paraId="25E1539D" w14:textId="201B8FD6">
      <w:pPr>
        <w:pStyle w:val="ListParagraph"/>
        <w:numPr>
          <w:ilvl w:val="0"/>
          <w:numId w:val="18"/>
        </w:numPr>
        <w:spacing w:line="278" w:lineRule="auto"/>
        <w:rPr>
          <w:color w:val="000000" w:themeColor="text1"/>
        </w:rPr>
      </w:pPr>
      <w:r w:rsidRPr="00071286">
        <w:rPr>
          <w:color w:val="000000" w:themeColor="text1"/>
        </w:rPr>
        <w:t xml:space="preserve">Teaching physicians </w:t>
      </w:r>
      <w:r w:rsidR="00651CAA">
        <w:rPr>
          <w:color w:val="000000" w:themeColor="text1"/>
        </w:rPr>
        <w:t>can and should</w:t>
      </w:r>
      <w:r w:rsidRPr="00071286">
        <w:rPr>
          <w:color w:val="000000" w:themeColor="text1"/>
        </w:rPr>
        <w:t xml:space="preserve"> edit medical student notes for accuracy. This may include deleting content that the teaching physician did not personally verify or perform. </w:t>
      </w:r>
      <w:r w:rsidR="00665D5F">
        <w:rPr>
          <w:color w:val="000000" w:themeColor="text1"/>
        </w:rPr>
        <w:t>This can be an opportunity</w:t>
      </w:r>
      <w:r w:rsidRPr="00071286" w:rsidR="005153DA">
        <w:rPr>
          <w:color w:val="000000" w:themeColor="text1"/>
        </w:rPr>
        <w:t xml:space="preserve"> to gather feedback for student</w:t>
      </w:r>
      <w:r w:rsidR="004C654D">
        <w:rPr>
          <w:color w:val="000000" w:themeColor="text1"/>
        </w:rPr>
        <w:t>s</w:t>
      </w:r>
      <w:r w:rsidRPr="00071286" w:rsidR="005153DA">
        <w:rPr>
          <w:color w:val="000000" w:themeColor="text1"/>
        </w:rPr>
        <w:t xml:space="preserve"> on their note-</w:t>
      </w:r>
      <w:r w:rsidR="004C3A8C">
        <w:rPr>
          <w:color w:val="000000" w:themeColor="text1"/>
        </w:rPr>
        <w:t>writing</w:t>
      </w:r>
      <w:r w:rsidRPr="00071286" w:rsidR="005153DA">
        <w:rPr>
          <w:color w:val="000000" w:themeColor="text1"/>
        </w:rPr>
        <w:t>.</w:t>
      </w:r>
      <w:r w:rsidRPr="00071286" w:rsidR="008B6F2E">
        <w:rPr>
          <w:color w:val="000000" w:themeColor="text1"/>
        </w:rPr>
        <w:t xml:space="preserve"> </w:t>
      </w:r>
    </w:p>
    <w:p w:rsidRPr="00543926" w:rsidR="00720F68" w:rsidP="00543926" w:rsidRDefault="005759AC" w14:paraId="356A7155" w14:textId="1BFDB879">
      <w:pPr>
        <w:pStyle w:val="ListParagraph"/>
        <w:numPr>
          <w:ilvl w:val="0"/>
          <w:numId w:val="18"/>
        </w:numPr>
        <w:spacing w:before="240" w:line="278" w:lineRule="auto"/>
        <w:rPr>
          <w:color w:val="000000" w:themeColor="text1"/>
        </w:rPr>
      </w:pPr>
      <w:r w:rsidRPr="00071286">
        <w:rPr>
          <w:color w:val="000000" w:themeColor="text1"/>
        </w:rPr>
        <w:t>Medical student</w:t>
      </w:r>
      <w:r w:rsidRPr="00071286" w:rsidR="00625725">
        <w:rPr>
          <w:color w:val="000000" w:themeColor="text1"/>
        </w:rPr>
        <w:t>s</w:t>
      </w:r>
      <w:r w:rsidRPr="00071286">
        <w:rPr>
          <w:color w:val="000000" w:themeColor="text1"/>
        </w:rPr>
        <w:t xml:space="preserve"> </w:t>
      </w:r>
      <w:r w:rsidR="00AA0F3E">
        <w:rPr>
          <w:color w:val="000000" w:themeColor="text1"/>
        </w:rPr>
        <w:t>always have the option of seeing</w:t>
      </w:r>
      <w:r w:rsidRPr="00071286">
        <w:rPr>
          <w:color w:val="000000" w:themeColor="text1"/>
        </w:rPr>
        <w:t xml:space="preserve"> patients independently</w:t>
      </w:r>
      <w:r w:rsidRPr="00071286" w:rsidR="008371EB">
        <w:rPr>
          <w:color w:val="000000" w:themeColor="text1"/>
        </w:rPr>
        <w:t xml:space="preserve"> (</w:t>
      </w:r>
      <w:r w:rsidR="00545FE3">
        <w:rPr>
          <w:color w:val="000000" w:themeColor="text1"/>
        </w:rPr>
        <w:t xml:space="preserve">as </w:t>
      </w:r>
      <w:r w:rsidR="00AA0F3E">
        <w:rPr>
          <w:color w:val="000000" w:themeColor="text1"/>
        </w:rPr>
        <w:t>shown</w:t>
      </w:r>
      <w:r w:rsidRPr="00071286" w:rsidR="008371EB">
        <w:rPr>
          <w:color w:val="000000" w:themeColor="text1"/>
        </w:rPr>
        <w:t xml:space="preserve"> in preferred workflo</w:t>
      </w:r>
      <w:r w:rsidR="007765C5">
        <w:rPr>
          <w:color w:val="000000" w:themeColor="text1"/>
        </w:rPr>
        <w:t>ws</w:t>
      </w:r>
      <w:r w:rsidR="006A3CEB">
        <w:rPr>
          <w:color w:val="000000" w:themeColor="text1"/>
        </w:rPr>
        <w:t xml:space="preserve"> below</w:t>
      </w:r>
      <w:r w:rsidRPr="00071286" w:rsidR="008371EB">
        <w:rPr>
          <w:color w:val="000000" w:themeColor="text1"/>
        </w:rPr>
        <w:t>)</w:t>
      </w:r>
      <w:r w:rsidRPr="00071286" w:rsidR="00890B8E">
        <w:rPr>
          <w:color w:val="000000" w:themeColor="text1"/>
        </w:rPr>
        <w:t xml:space="preserve">, </w:t>
      </w:r>
      <w:r w:rsidRPr="00071286" w:rsidR="008371EB">
        <w:rPr>
          <w:color w:val="000000" w:themeColor="text1"/>
        </w:rPr>
        <w:t xml:space="preserve">as long as </w:t>
      </w:r>
      <w:r w:rsidRPr="00071286" w:rsidR="003A10D8">
        <w:rPr>
          <w:color w:val="000000" w:themeColor="text1"/>
        </w:rPr>
        <w:t>they</w:t>
      </w:r>
      <w:r w:rsidRPr="00071286" w:rsidR="008371EB">
        <w:rPr>
          <w:color w:val="000000" w:themeColor="text1"/>
        </w:rPr>
        <w:t xml:space="preserve"> return with the resident or the teaching physician</w:t>
      </w:r>
      <w:r w:rsidR="00543926">
        <w:rPr>
          <w:color w:val="000000" w:themeColor="text1"/>
        </w:rPr>
        <w:t xml:space="preserve"> to be supervised</w:t>
      </w:r>
      <w:r w:rsidRPr="00071286" w:rsidR="008371EB">
        <w:rPr>
          <w:color w:val="000000" w:themeColor="text1"/>
        </w:rPr>
        <w:t xml:space="preserve"> for the documented elements of the encounter.</w:t>
      </w:r>
    </w:p>
    <w:p w:rsidRPr="000C21AC" w:rsidR="00AA2DDD" w:rsidP="3FA4DF2F" w:rsidRDefault="002D047A" w14:paraId="05C2DB38" w14:textId="7F760954">
      <w:pPr>
        <w:pStyle w:val="Normal"/>
        <w:spacing w:before="240" w:line="278" w:lineRule="auto"/>
        <w:ind w:left="0"/>
        <w:contextualSpacing w:val="0"/>
        <w:rPr>
          <w:b w:val="1"/>
          <w:bCs w:val="1"/>
          <w:color w:val="000000" w:themeColor="text1" w:themeTint="FF" w:themeShade="FF"/>
          <w:u w:val="single"/>
        </w:rPr>
      </w:pPr>
    </w:p>
    <w:p w:rsidRPr="000C21AC" w:rsidR="00AA2DDD" w:rsidP="3FA4DF2F" w:rsidRDefault="002D047A" w14:paraId="7C5B83F8" w14:textId="146315F7">
      <w:pPr>
        <w:spacing w:line="278" w:lineRule="auto"/>
        <w:ind/>
        <w:contextualSpacing w:val="0"/>
      </w:pPr>
      <w:r>
        <w:br w:type="page"/>
      </w:r>
    </w:p>
    <w:p w:rsidRPr="000C21AC" w:rsidR="00AA2DDD" w:rsidP="3FA4DF2F" w:rsidRDefault="002D047A" w14:paraId="16FDC636" w14:textId="6E78A8E0">
      <w:pPr>
        <w:pStyle w:val="Normal"/>
        <w:spacing w:before="240" w:line="278" w:lineRule="auto"/>
        <w:ind w:left="0"/>
        <w:contextualSpacing w:val="0"/>
        <w:rPr>
          <w:b w:val="1"/>
          <w:bCs w:val="1"/>
          <w:color w:val="000000" w:themeColor="text1"/>
          <w:u w:val="single"/>
        </w:rPr>
      </w:pPr>
      <w:r w:rsidRPr="3FA4DF2F" w:rsidR="23D23912">
        <w:rPr>
          <w:b w:val="1"/>
          <w:bCs w:val="1"/>
          <w:color w:val="000000" w:themeColor="text1" w:themeTint="FF" w:themeShade="FF"/>
          <w:u w:val="single"/>
        </w:rPr>
        <w:t>Sample workflows:</w:t>
      </w:r>
    </w:p>
    <w:p w:rsidR="00BC70FD" w:rsidP="00AA0F3E" w:rsidRDefault="005172CF" w14:paraId="6EC6DC27" w14:textId="6B478F94">
      <w:r w:rsidRPr="005172CF">
        <w:rPr>
          <w:noProof/>
        </w:rPr>
        <w:drawing>
          <wp:inline distT="0" distB="0" distL="0" distR="0" wp14:anchorId="335C20D2" wp14:editId="7331EA20">
            <wp:extent cx="2136618" cy="1982240"/>
            <wp:effectExtent l="0" t="0" r="0" b="0"/>
            <wp:docPr id="8817475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747531" name=""/>
                    <pic:cNvPicPr/>
                  </pic:nvPicPr>
                  <pic:blipFill rotWithShape="1">
                    <a:blip r:embed="rId5"/>
                    <a:srcRect l="30474" t="18143" r="33563" b="22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96" cy="1983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5182" w:rsidP="00AA0F3E" w:rsidRDefault="00332481" w14:paraId="68A5C440" w14:textId="1B51A9FD">
      <w:r w:rsidRPr="00332481">
        <w:rPr>
          <w:noProof/>
        </w:rPr>
        <w:drawing>
          <wp:inline distT="0" distB="0" distL="0" distR="0" wp14:anchorId="39C1C043" wp14:editId="0A6017A6">
            <wp:extent cx="5943600" cy="3343275"/>
            <wp:effectExtent l="0" t="0" r="0" b="0"/>
            <wp:docPr id="741385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38506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182" w:rsidP="00AA0F3E" w:rsidRDefault="00A07D01" w14:paraId="69D3EFBB" w14:textId="2DC92B8C">
      <w:r w:rsidRPr="00A07D01">
        <w:lastRenderedPageBreak/>
        <w:drawing>
          <wp:inline distT="0" distB="0" distL="0" distR="0" wp14:anchorId="199869F6" wp14:editId="57328BE2">
            <wp:extent cx="5943600" cy="3343275"/>
            <wp:effectExtent l="0" t="0" r="0" b="0"/>
            <wp:docPr id="11926025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60258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182" w:rsidP="00AA0F3E" w:rsidRDefault="00D7713C" w14:paraId="4A5E18CC" w14:textId="0BA55A08">
      <w:r w:rsidRPr="00D7713C">
        <w:drawing>
          <wp:inline distT="0" distB="0" distL="0" distR="0" wp14:anchorId="617B9562" wp14:editId="05518B8D">
            <wp:extent cx="5943600" cy="3343275"/>
            <wp:effectExtent l="0" t="0" r="0" b="0"/>
            <wp:docPr id="2361173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11732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F6E" w:rsidP="00AA0F3E" w:rsidRDefault="00D7713C" w14:paraId="47164C4F" w14:textId="6F69F96A">
      <w:r w:rsidRPr="00D7713C">
        <w:lastRenderedPageBreak/>
        <w:drawing>
          <wp:inline distT="0" distB="0" distL="0" distR="0" wp14:anchorId="4F92377E" wp14:editId="3ED14619">
            <wp:extent cx="5943600" cy="3343275"/>
            <wp:effectExtent l="0" t="0" r="0" b="0"/>
            <wp:docPr id="13822675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26753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F6E" w:rsidP="00AA0F3E" w:rsidRDefault="00296F6E" w14:paraId="44B169BE" w14:textId="4CE3D552">
      <w:r w:rsidRPr="00296F6E">
        <w:rPr>
          <w:noProof/>
        </w:rPr>
        <w:drawing>
          <wp:inline distT="0" distB="0" distL="0" distR="0" wp14:anchorId="5B7B93D6" wp14:editId="33A10810">
            <wp:extent cx="5943600" cy="3343275"/>
            <wp:effectExtent l="0" t="0" r="0" b="0"/>
            <wp:docPr id="328883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8839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E5A" w:rsidRDefault="005A5E5A" w14:paraId="48C493B9" w14:textId="3864019D">
      <w:r>
        <w:br w:type="page"/>
      </w:r>
    </w:p>
    <w:p w:rsidRPr="005413CB" w:rsidR="005A5E5A" w:rsidP="005A5E5A" w:rsidRDefault="005A5E5A" w14:paraId="38AA8341" w14:textId="77777777">
      <w:pPr>
        <w:spacing w:before="240"/>
        <w:rPr>
          <w:b/>
          <w:bCs/>
        </w:rPr>
      </w:pPr>
      <w:r w:rsidRPr="004B29E0">
        <w:rPr>
          <w:b/>
          <w:bCs/>
          <w:u w:val="single"/>
        </w:rPr>
        <w:lastRenderedPageBreak/>
        <w:t>Quick Guide: Medical Student Participation in E/M Services</w:t>
      </w:r>
      <w:r>
        <w:rPr>
          <w:noProof/>
        </w:rPr>
        <w:drawing>
          <wp:inline distT="0" distB="0" distL="0" distR="0" wp14:anchorId="68833EC3" wp14:editId="0E0BA7AB">
            <wp:extent cx="5943575" cy="3609880"/>
            <wp:effectExtent l="0" t="0" r="635" b="0"/>
            <wp:docPr id="113456343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563430" name="Picture 1134563430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5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09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5E5A" w:rsidP="005A5E5A" w:rsidRDefault="005A5E5A" w14:paraId="007A2251" w14:textId="77777777">
      <w:pPr>
        <w:pStyle w:val="ListParagraph"/>
        <w:ind w:left="0"/>
        <w:rPr>
          <w:color w:val="000000" w:themeColor="text1"/>
        </w:rPr>
      </w:pPr>
      <w:r>
        <w:rPr>
          <w:color w:val="000000" w:themeColor="text1"/>
        </w:rPr>
        <w:t>This Quick Guide and f</w:t>
      </w:r>
      <w:r w:rsidRPr="0076115E">
        <w:rPr>
          <w:color w:val="000000" w:themeColor="text1"/>
        </w:rPr>
        <w:t xml:space="preserve">urther details on the UW policy concerning medical student documentation and E/M services can be found </w:t>
      </w:r>
      <w:hyperlink r:id="rId12">
        <w:r w:rsidRPr="0076115E">
          <w:rPr>
            <w:rStyle w:val="Hyperlink"/>
            <w:color w:val="000000" w:themeColor="text1"/>
          </w:rPr>
          <w:t>here</w:t>
        </w:r>
      </w:hyperlink>
      <w:r w:rsidRPr="0076115E">
        <w:rPr>
          <w:color w:val="000000" w:themeColor="text1"/>
        </w:rPr>
        <w:t xml:space="preserve">. </w:t>
      </w:r>
    </w:p>
    <w:p w:rsidRPr="00AA0F3E" w:rsidR="005A5E5A" w:rsidP="00AA0F3E" w:rsidRDefault="005A5E5A" w14:paraId="6F9EC2F7" w14:textId="77777777"/>
    <w:sectPr w:rsidRPr="00AA0F3E" w:rsidR="005A5E5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26A8"/>
    <w:multiLevelType w:val="hybridMultilevel"/>
    <w:tmpl w:val="3F12F0D2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E3FBD"/>
    <w:multiLevelType w:val="hybridMultilevel"/>
    <w:tmpl w:val="920A20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28E295"/>
    <w:multiLevelType w:val="hybridMultilevel"/>
    <w:tmpl w:val="FA867BE4"/>
    <w:lvl w:ilvl="0" w:tplc="735275B4">
      <w:start w:val="1"/>
      <w:numFmt w:val="decimal"/>
      <w:lvlText w:val="%1."/>
      <w:lvlJc w:val="left"/>
      <w:pPr>
        <w:ind w:left="720" w:hanging="360"/>
      </w:pPr>
    </w:lvl>
    <w:lvl w:ilvl="1" w:tplc="1F86B9FA">
      <w:start w:val="1"/>
      <w:numFmt w:val="lowerLetter"/>
      <w:lvlText w:val="%2."/>
      <w:lvlJc w:val="left"/>
      <w:pPr>
        <w:ind w:left="1440" w:hanging="360"/>
      </w:pPr>
    </w:lvl>
    <w:lvl w:ilvl="2" w:tplc="56C63F00">
      <w:start w:val="1"/>
      <w:numFmt w:val="lowerRoman"/>
      <w:lvlText w:val="%3."/>
      <w:lvlJc w:val="right"/>
      <w:pPr>
        <w:ind w:left="2160" w:hanging="180"/>
      </w:pPr>
    </w:lvl>
    <w:lvl w:ilvl="3" w:tplc="4F20E8AA">
      <w:start w:val="1"/>
      <w:numFmt w:val="decimal"/>
      <w:lvlText w:val="%4."/>
      <w:lvlJc w:val="left"/>
      <w:pPr>
        <w:ind w:left="2880" w:hanging="360"/>
      </w:pPr>
    </w:lvl>
    <w:lvl w:ilvl="4" w:tplc="6616BD74">
      <w:start w:val="1"/>
      <w:numFmt w:val="lowerLetter"/>
      <w:lvlText w:val="%5."/>
      <w:lvlJc w:val="left"/>
      <w:pPr>
        <w:ind w:left="3600" w:hanging="360"/>
      </w:pPr>
    </w:lvl>
    <w:lvl w:ilvl="5" w:tplc="B636D37C">
      <w:start w:val="1"/>
      <w:numFmt w:val="lowerRoman"/>
      <w:lvlText w:val="%6."/>
      <w:lvlJc w:val="right"/>
      <w:pPr>
        <w:ind w:left="4320" w:hanging="180"/>
      </w:pPr>
    </w:lvl>
    <w:lvl w:ilvl="6" w:tplc="FC5CDEAC">
      <w:start w:val="1"/>
      <w:numFmt w:val="decimal"/>
      <w:lvlText w:val="%7."/>
      <w:lvlJc w:val="left"/>
      <w:pPr>
        <w:ind w:left="5040" w:hanging="360"/>
      </w:pPr>
    </w:lvl>
    <w:lvl w:ilvl="7" w:tplc="F1EC722C">
      <w:start w:val="1"/>
      <w:numFmt w:val="lowerLetter"/>
      <w:lvlText w:val="%8."/>
      <w:lvlJc w:val="left"/>
      <w:pPr>
        <w:ind w:left="5760" w:hanging="360"/>
      </w:pPr>
    </w:lvl>
    <w:lvl w:ilvl="8" w:tplc="75885D1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358E7"/>
    <w:multiLevelType w:val="hybridMultilevel"/>
    <w:tmpl w:val="65FC08A6"/>
    <w:lvl w:ilvl="0" w:tplc="43F473DE">
      <w:start w:val="1"/>
      <w:numFmt w:val="decimal"/>
      <w:lvlText w:val="%1."/>
      <w:lvlJc w:val="left"/>
      <w:pPr>
        <w:ind w:left="720" w:hanging="360"/>
      </w:pPr>
    </w:lvl>
    <w:lvl w:ilvl="1" w:tplc="7A86E6AC">
      <w:start w:val="1"/>
      <w:numFmt w:val="lowerLetter"/>
      <w:lvlText w:val="%2."/>
      <w:lvlJc w:val="left"/>
      <w:pPr>
        <w:ind w:left="1440" w:hanging="360"/>
      </w:pPr>
    </w:lvl>
    <w:lvl w:ilvl="2" w:tplc="123032A6">
      <w:start w:val="1"/>
      <w:numFmt w:val="lowerRoman"/>
      <w:lvlText w:val="%3."/>
      <w:lvlJc w:val="right"/>
      <w:pPr>
        <w:ind w:left="2160" w:hanging="180"/>
      </w:pPr>
    </w:lvl>
    <w:lvl w:ilvl="3" w:tplc="60D089B0">
      <w:start w:val="1"/>
      <w:numFmt w:val="decimal"/>
      <w:lvlText w:val="%4."/>
      <w:lvlJc w:val="left"/>
      <w:pPr>
        <w:ind w:left="2880" w:hanging="360"/>
      </w:pPr>
    </w:lvl>
    <w:lvl w:ilvl="4" w:tplc="8FE6D81C">
      <w:start w:val="1"/>
      <w:numFmt w:val="lowerLetter"/>
      <w:lvlText w:val="%5."/>
      <w:lvlJc w:val="left"/>
      <w:pPr>
        <w:ind w:left="3600" w:hanging="360"/>
      </w:pPr>
    </w:lvl>
    <w:lvl w:ilvl="5" w:tplc="38F6920E">
      <w:start w:val="1"/>
      <w:numFmt w:val="lowerRoman"/>
      <w:lvlText w:val="%6."/>
      <w:lvlJc w:val="right"/>
      <w:pPr>
        <w:ind w:left="4320" w:hanging="180"/>
      </w:pPr>
    </w:lvl>
    <w:lvl w:ilvl="6" w:tplc="9C003BC8">
      <w:start w:val="1"/>
      <w:numFmt w:val="decimal"/>
      <w:lvlText w:val="%7."/>
      <w:lvlJc w:val="left"/>
      <w:pPr>
        <w:ind w:left="5040" w:hanging="360"/>
      </w:pPr>
    </w:lvl>
    <w:lvl w:ilvl="7" w:tplc="B19647BE">
      <w:start w:val="1"/>
      <w:numFmt w:val="lowerLetter"/>
      <w:lvlText w:val="%8."/>
      <w:lvlJc w:val="left"/>
      <w:pPr>
        <w:ind w:left="5760" w:hanging="360"/>
      </w:pPr>
    </w:lvl>
    <w:lvl w:ilvl="8" w:tplc="9FFE834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42F9F"/>
    <w:multiLevelType w:val="hybridMultilevel"/>
    <w:tmpl w:val="36ACC5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A4235"/>
    <w:multiLevelType w:val="hybridMultilevel"/>
    <w:tmpl w:val="C73C0642"/>
    <w:lvl w:ilvl="0" w:tplc="8402D090">
      <w:start w:val="1"/>
      <w:numFmt w:val="decimal"/>
      <w:lvlText w:val="%1."/>
      <w:lvlJc w:val="left"/>
      <w:pPr>
        <w:ind w:left="720" w:hanging="360"/>
      </w:pPr>
    </w:lvl>
    <w:lvl w:ilvl="1" w:tplc="D5DAAD36">
      <w:start w:val="1"/>
      <w:numFmt w:val="lowerLetter"/>
      <w:lvlText w:val="%2."/>
      <w:lvlJc w:val="left"/>
      <w:pPr>
        <w:ind w:left="1440" w:hanging="360"/>
      </w:pPr>
    </w:lvl>
    <w:lvl w:ilvl="2" w:tplc="72081034">
      <w:start w:val="1"/>
      <w:numFmt w:val="lowerRoman"/>
      <w:lvlText w:val="%3."/>
      <w:lvlJc w:val="right"/>
      <w:pPr>
        <w:ind w:left="2160" w:hanging="180"/>
      </w:pPr>
    </w:lvl>
    <w:lvl w:ilvl="3" w:tplc="15604B7C">
      <w:start w:val="1"/>
      <w:numFmt w:val="decimal"/>
      <w:lvlText w:val="%4."/>
      <w:lvlJc w:val="left"/>
      <w:pPr>
        <w:ind w:left="2880" w:hanging="360"/>
      </w:pPr>
    </w:lvl>
    <w:lvl w:ilvl="4" w:tplc="36CC7B88">
      <w:start w:val="1"/>
      <w:numFmt w:val="lowerLetter"/>
      <w:lvlText w:val="%5."/>
      <w:lvlJc w:val="left"/>
      <w:pPr>
        <w:ind w:left="3600" w:hanging="360"/>
      </w:pPr>
    </w:lvl>
    <w:lvl w:ilvl="5" w:tplc="8568830A">
      <w:start w:val="1"/>
      <w:numFmt w:val="lowerRoman"/>
      <w:lvlText w:val="%6."/>
      <w:lvlJc w:val="right"/>
      <w:pPr>
        <w:ind w:left="4320" w:hanging="180"/>
      </w:pPr>
    </w:lvl>
    <w:lvl w:ilvl="6" w:tplc="8C228644">
      <w:start w:val="1"/>
      <w:numFmt w:val="decimal"/>
      <w:lvlText w:val="%7."/>
      <w:lvlJc w:val="left"/>
      <w:pPr>
        <w:ind w:left="5040" w:hanging="360"/>
      </w:pPr>
    </w:lvl>
    <w:lvl w:ilvl="7" w:tplc="7C043CEA">
      <w:start w:val="1"/>
      <w:numFmt w:val="lowerLetter"/>
      <w:lvlText w:val="%8."/>
      <w:lvlJc w:val="left"/>
      <w:pPr>
        <w:ind w:left="5760" w:hanging="360"/>
      </w:pPr>
    </w:lvl>
    <w:lvl w:ilvl="8" w:tplc="2A042DD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B09BD"/>
    <w:multiLevelType w:val="hybridMultilevel"/>
    <w:tmpl w:val="89B66E90"/>
    <w:lvl w:ilvl="0" w:tplc="E348E06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38BD5976"/>
    <w:multiLevelType w:val="hybridMultilevel"/>
    <w:tmpl w:val="645C940A"/>
    <w:lvl w:ilvl="0" w:tplc="E78471AC">
      <w:numFmt w:val="bullet"/>
      <w:lvlText w:val="-"/>
      <w:lvlJc w:val="left"/>
      <w:pPr>
        <w:ind w:left="720" w:hanging="360"/>
      </w:pPr>
      <w:rPr>
        <w:rFonts w:hint="default" w:ascii="Aptos" w:hAnsi="Aptos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346F638"/>
    <w:multiLevelType w:val="hybridMultilevel"/>
    <w:tmpl w:val="CB20223E"/>
    <w:lvl w:ilvl="0" w:tplc="2A520A80">
      <w:start w:val="1"/>
      <w:numFmt w:val="decimal"/>
      <w:lvlText w:val="%1."/>
      <w:lvlJc w:val="left"/>
      <w:pPr>
        <w:ind w:left="720" w:hanging="360"/>
      </w:pPr>
    </w:lvl>
    <w:lvl w:ilvl="1" w:tplc="3E50EF8E">
      <w:start w:val="1"/>
      <w:numFmt w:val="lowerLetter"/>
      <w:lvlText w:val="%2."/>
      <w:lvlJc w:val="left"/>
      <w:pPr>
        <w:ind w:left="1440" w:hanging="360"/>
      </w:pPr>
    </w:lvl>
    <w:lvl w:ilvl="2" w:tplc="D2746D6C">
      <w:start w:val="1"/>
      <w:numFmt w:val="lowerRoman"/>
      <w:lvlText w:val="%3."/>
      <w:lvlJc w:val="right"/>
      <w:pPr>
        <w:ind w:left="2160" w:hanging="180"/>
      </w:pPr>
    </w:lvl>
    <w:lvl w:ilvl="3" w:tplc="3D9AB2F4">
      <w:start w:val="1"/>
      <w:numFmt w:val="decimal"/>
      <w:lvlText w:val="%4."/>
      <w:lvlJc w:val="left"/>
      <w:pPr>
        <w:ind w:left="2880" w:hanging="360"/>
      </w:pPr>
    </w:lvl>
    <w:lvl w:ilvl="4" w:tplc="B8DC6D7E">
      <w:start w:val="1"/>
      <w:numFmt w:val="lowerLetter"/>
      <w:lvlText w:val="%5."/>
      <w:lvlJc w:val="left"/>
      <w:pPr>
        <w:ind w:left="3600" w:hanging="360"/>
      </w:pPr>
    </w:lvl>
    <w:lvl w:ilvl="5" w:tplc="10943DB0">
      <w:start w:val="1"/>
      <w:numFmt w:val="lowerRoman"/>
      <w:lvlText w:val="%6."/>
      <w:lvlJc w:val="right"/>
      <w:pPr>
        <w:ind w:left="4320" w:hanging="180"/>
      </w:pPr>
    </w:lvl>
    <w:lvl w:ilvl="6" w:tplc="D7EAAD10">
      <w:start w:val="1"/>
      <w:numFmt w:val="decimal"/>
      <w:lvlText w:val="%7."/>
      <w:lvlJc w:val="left"/>
      <w:pPr>
        <w:ind w:left="5040" w:hanging="360"/>
      </w:pPr>
    </w:lvl>
    <w:lvl w:ilvl="7" w:tplc="E6A6F936">
      <w:start w:val="1"/>
      <w:numFmt w:val="lowerLetter"/>
      <w:lvlText w:val="%8."/>
      <w:lvlJc w:val="left"/>
      <w:pPr>
        <w:ind w:left="5760" w:hanging="360"/>
      </w:pPr>
    </w:lvl>
    <w:lvl w:ilvl="8" w:tplc="2F4AA27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E144A"/>
    <w:multiLevelType w:val="hybridMultilevel"/>
    <w:tmpl w:val="014031B2"/>
    <w:lvl w:ilvl="0" w:tplc="D16222F2">
      <w:start w:val="1"/>
      <w:numFmt w:val="decimal"/>
      <w:lvlText w:val="%1."/>
      <w:lvlJc w:val="left"/>
      <w:pPr>
        <w:ind w:left="360" w:hanging="360"/>
      </w:pPr>
    </w:lvl>
    <w:lvl w:ilvl="1" w:tplc="057CC1B8">
      <w:start w:val="1"/>
      <w:numFmt w:val="lowerLetter"/>
      <w:lvlText w:val="%2."/>
      <w:lvlJc w:val="left"/>
      <w:pPr>
        <w:ind w:left="1080" w:hanging="360"/>
      </w:pPr>
    </w:lvl>
    <w:lvl w:ilvl="2" w:tplc="20A83198">
      <w:start w:val="1"/>
      <w:numFmt w:val="lowerRoman"/>
      <w:lvlText w:val="%3."/>
      <w:lvlJc w:val="right"/>
      <w:pPr>
        <w:ind w:left="1800" w:hanging="180"/>
      </w:pPr>
    </w:lvl>
    <w:lvl w:ilvl="3" w:tplc="F4B8C64E">
      <w:start w:val="1"/>
      <w:numFmt w:val="decimal"/>
      <w:lvlText w:val="%4."/>
      <w:lvlJc w:val="left"/>
      <w:pPr>
        <w:ind w:left="2520" w:hanging="360"/>
      </w:pPr>
    </w:lvl>
    <w:lvl w:ilvl="4" w:tplc="346A114C">
      <w:start w:val="1"/>
      <w:numFmt w:val="lowerLetter"/>
      <w:lvlText w:val="%5."/>
      <w:lvlJc w:val="left"/>
      <w:pPr>
        <w:ind w:left="3240" w:hanging="360"/>
      </w:pPr>
    </w:lvl>
    <w:lvl w:ilvl="5" w:tplc="F0848358">
      <w:start w:val="1"/>
      <w:numFmt w:val="lowerRoman"/>
      <w:lvlText w:val="%6."/>
      <w:lvlJc w:val="right"/>
      <w:pPr>
        <w:ind w:left="3960" w:hanging="180"/>
      </w:pPr>
    </w:lvl>
    <w:lvl w:ilvl="6" w:tplc="4198E774">
      <w:start w:val="1"/>
      <w:numFmt w:val="decimal"/>
      <w:lvlText w:val="%7."/>
      <w:lvlJc w:val="left"/>
      <w:pPr>
        <w:ind w:left="4680" w:hanging="360"/>
      </w:pPr>
    </w:lvl>
    <w:lvl w:ilvl="7" w:tplc="CA06FC60">
      <w:start w:val="1"/>
      <w:numFmt w:val="lowerLetter"/>
      <w:lvlText w:val="%8."/>
      <w:lvlJc w:val="left"/>
      <w:pPr>
        <w:ind w:left="5400" w:hanging="360"/>
      </w:pPr>
    </w:lvl>
    <w:lvl w:ilvl="8" w:tplc="ABEAB3D0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624C2B"/>
    <w:multiLevelType w:val="hybridMultilevel"/>
    <w:tmpl w:val="8D520080"/>
    <w:lvl w:ilvl="0" w:tplc="70F25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A16E3B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1380A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BC692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D5944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BDE70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0304B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D52B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5C23B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1" w15:restartNumberingAfterBreak="0">
    <w:nsid w:val="58770891"/>
    <w:multiLevelType w:val="multilevel"/>
    <w:tmpl w:val="12580FF2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26EEB"/>
    <w:multiLevelType w:val="hybridMultilevel"/>
    <w:tmpl w:val="C5AE499A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E78471AC">
      <w:numFmt w:val="bullet"/>
      <w:lvlText w:val="-"/>
      <w:lvlJc w:val="left"/>
      <w:pPr>
        <w:ind w:left="720" w:hanging="360"/>
      </w:pPr>
      <w:rPr>
        <w:rFonts w:hint="default" w:ascii="Aptos" w:hAnsi="Aptos" w:eastAsiaTheme="minorEastAsia" w:cstheme="minorBid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06C8F"/>
    <w:multiLevelType w:val="hybridMultilevel"/>
    <w:tmpl w:val="F66AE8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C223499"/>
    <w:multiLevelType w:val="hybridMultilevel"/>
    <w:tmpl w:val="39109808"/>
    <w:lvl w:ilvl="0" w:tplc="7B7E324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AD4A1"/>
    <w:multiLevelType w:val="hybridMultilevel"/>
    <w:tmpl w:val="0172F2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3" w:tplc="0BB6C832">
      <w:start w:val="1"/>
      <w:numFmt w:val="decimal"/>
      <w:lvlText w:val="%4."/>
      <w:lvlJc w:val="left"/>
      <w:pPr>
        <w:ind w:left="2880" w:hanging="360"/>
      </w:pPr>
    </w:lvl>
    <w:lvl w:ilvl="4" w:tplc="E2CE96D6">
      <w:start w:val="1"/>
      <w:numFmt w:val="lowerLetter"/>
      <w:lvlText w:val="%5."/>
      <w:lvlJc w:val="left"/>
      <w:pPr>
        <w:ind w:left="3600" w:hanging="360"/>
      </w:pPr>
    </w:lvl>
    <w:lvl w:ilvl="5" w:tplc="3B9E885A">
      <w:start w:val="1"/>
      <w:numFmt w:val="lowerRoman"/>
      <w:lvlText w:val="%6."/>
      <w:lvlJc w:val="right"/>
      <w:pPr>
        <w:ind w:left="4320" w:hanging="180"/>
      </w:pPr>
    </w:lvl>
    <w:lvl w:ilvl="6" w:tplc="7C60F23A">
      <w:start w:val="1"/>
      <w:numFmt w:val="decimal"/>
      <w:lvlText w:val="%7."/>
      <w:lvlJc w:val="left"/>
      <w:pPr>
        <w:ind w:left="5040" w:hanging="360"/>
      </w:pPr>
    </w:lvl>
    <w:lvl w:ilvl="7" w:tplc="2CBC878C">
      <w:start w:val="1"/>
      <w:numFmt w:val="lowerLetter"/>
      <w:lvlText w:val="%8."/>
      <w:lvlJc w:val="left"/>
      <w:pPr>
        <w:ind w:left="5760" w:hanging="360"/>
      </w:pPr>
    </w:lvl>
    <w:lvl w:ilvl="8" w:tplc="7736BF6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34207"/>
    <w:multiLevelType w:val="hybridMultilevel"/>
    <w:tmpl w:val="B2A4CC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6B2F81D"/>
    <w:multiLevelType w:val="hybridMultilevel"/>
    <w:tmpl w:val="E4AE6E8E"/>
    <w:lvl w:ilvl="0" w:tplc="D9041E00">
      <w:start w:val="1"/>
      <w:numFmt w:val="decimal"/>
      <w:lvlText w:val="%1."/>
      <w:lvlJc w:val="left"/>
      <w:pPr>
        <w:ind w:left="720" w:hanging="360"/>
      </w:pPr>
    </w:lvl>
    <w:lvl w:ilvl="1" w:tplc="53762A4C">
      <w:start w:val="1"/>
      <w:numFmt w:val="lowerLetter"/>
      <w:lvlText w:val="%2."/>
      <w:lvlJc w:val="left"/>
      <w:pPr>
        <w:ind w:left="1440" w:hanging="360"/>
      </w:pPr>
    </w:lvl>
    <w:lvl w:ilvl="2" w:tplc="F104B834">
      <w:start w:val="1"/>
      <w:numFmt w:val="lowerRoman"/>
      <w:lvlText w:val="%3."/>
      <w:lvlJc w:val="right"/>
      <w:pPr>
        <w:ind w:left="2160" w:hanging="180"/>
      </w:pPr>
    </w:lvl>
    <w:lvl w:ilvl="3" w:tplc="39CCC2F2">
      <w:start w:val="1"/>
      <w:numFmt w:val="decimal"/>
      <w:lvlText w:val="%4."/>
      <w:lvlJc w:val="left"/>
      <w:pPr>
        <w:ind w:left="2880" w:hanging="360"/>
      </w:pPr>
    </w:lvl>
    <w:lvl w:ilvl="4" w:tplc="66065F22">
      <w:start w:val="1"/>
      <w:numFmt w:val="lowerLetter"/>
      <w:lvlText w:val="%5."/>
      <w:lvlJc w:val="left"/>
      <w:pPr>
        <w:ind w:left="3600" w:hanging="360"/>
      </w:pPr>
    </w:lvl>
    <w:lvl w:ilvl="5" w:tplc="1C32EF76">
      <w:start w:val="1"/>
      <w:numFmt w:val="lowerRoman"/>
      <w:lvlText w:val="%6."/>
      <w:lvlJc w:val="right"/>
      <w:pPr>
        <w:ind w:left="4320" w:hanging="180"/>
      </w:pPr>
    </w:lvl>
    <w:lvl w:ilvl="6" w:tplc="2532494E">
      <w:start w:val="1"/>
      <w:numFmt w:val="decimal"/>
      <w:lvlText w:val="%7."/>
      <w:lvlJc w:val="left"/>
      <w:pPr>
        <w:ind w:left="5040" w:hanging="360"/>
      </w:pPr>
    </w:lvl>
    <w:lvl w:ilvl="7" w:tplc="C4907880">
      <w:start w:val="1"/>
      <w:numFmt w:val="lowerLetter"/>
      <w:lvlText w:val="%8."/>
      <w:lvlJc w:val="left"/>
      <w:pPr>
        <w:ind w:left="5760" w:hanging="360"/>
      </w:pPr>
    </w:lvl>
    <w:lvl w:ilvl="8" w:tplc="632872B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546401"/>
    <w:multiLevelType w:val="hybridMultilevel"/>
    <w:tmpl w:val="E32246E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81AABC28">
      <w:start w:val="2"/>
      <w:numFmt w:val="upperRoman"/>
      <w:lvlText w:val="%2."/>
      <w:lvlJc w:val="righ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43749"/>
    <w:multiLevelType w:val="hybridMultilevel"/>
    <w:tmpl w:val="6AA23BF4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087736">
    <w:abstractNumId w:val="15"/>
  </w:num>
  <w:num w:numId="2" w16cid:durableId="1856378259">
    <w:abstractNumId w:val="5"/>
  </w:num>
  <w:num w:numId="3" w16cid:durableId="378017080">
    <w:abstractNumId w:val="17"/>
  </w:num>
  <w:num w:numId="4" w16cid:durableId="420221975">
    <w:abstractNumId w:val="8"/>
  </w:num>
  <w:num w:numId="5" w16cid:durableId="1232420627">
    <w:abstractNumId w:val="2"/>
  </w:num>
  <w:num w:numId="6" w16cid:durableId="472135178">
    <w:abstractNumId w:val="9"/>
  </w:num>
  <w:num w:numId="7" w16cid:durableId="930549843">
    <w:abstractNumId w:val="3"/>
  </w:num>
  <w:num w:numId="8" w16cid:durableId="1574850961">
    <w:abstractNumId w:val="11"/>
  </w:num>
  <w:num w:numId="9" w16cid:durableId="219220444">
    <w:abstractNumId w:val="10"/>
  </w:num>
  <w:num w:numId="10" w16cid:durableId="1684822641">
    <w:abstractNumId w:val="7"/>
  </w:num>
  <w:num w:numId="11" w16cid:durableId="1183281607">
    <w:abstractNumId w:val="6"/>
  </w:num>
  <w:num w:numId="12" w16cid:durableId="2108377902">
    <w:abstractNumId w:val="12"/>
  </w:num>
  <w:num w:numId="13" w16cid:durableId="1453402244">
    <w:abstractNumId w:val="18"/>
  </w:num>
  <w:num w:numId="14" w16cid:durableId="1130056419">
    <w:abstractNumId w:val="0"/>
  </w:num>
  <w:num w:numId="15" w16cid:durableId="1977831444">
    <w:abstractNumId w:val="1"/>
  </w:num>
  <w:num w:numId="16" w16cid:durableId="908736995">
    <w:abstractNumId w:val="19"/>
  </w:num>
  <w:num w:numId="17" w16cid:durableId="1102068311">
    <w:abstractNumId w:val="14"/>
  </w:num>
  <w:num w:numId="18" w16cid:durableId="838811491">
    <w:abstractNumId w:val="16"/>
  </w:num>
  <w:num w:numId="19" w16cid:durableId="1679383286">
    <w:abstractNumId w:val="13"/>
  </w:num>
  <w:num w:numId="20" w16cid:durableId="514466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13B284"/>
    <w:rsid w:val="00002212"/>
    <w:rsid w:val="0000344E"/>
    <w:rsid w:val="00010550"/>
    <w:rsid w:val="00016D74"/>
    <w:rsid w:val="000173D5"/>
    <w:rsid w:val="0002021F"/>
    <w:rsid w:val="00026A41"/>
    <w:rsid w:val="0004041F"/>
    <w:rsid w:val="00045266"/>
    <w:rsid w:val="00047CB9"/>
    <w:rsid w:val="00050BF2"/>
    <w:rsid w:val="00056093"/>
    <w:rsid w:val="00060B48"/>
    <w:rsid w:val="00061C1F"/>
    <w:rsid w:val="000652EC"/>
    <w:rsid w:val="00071286"/>
    <w:rsid w:val="0007139D"/>
    <w:rsid w:val="00075BEE"/>
    <w:rsid w:val="000903DA"/>
    <w:rsid w:val="00094388"/>
    <w:rsid w:val="000946F5"/>
    <w:rsid w:val="000B0B6C"/>
    <w:rsid w:val="000C21AC"/>
    <w:rsid w:val="000C3693"/>
    <w:rsid w:val="000C4871"/>
    <w:rsid w:val="000D17A2"/>
    <w:rsid w:val="00103FFF"/>
    <w:rsid w:val="00116B5F"/>
    <w:rsid w:val="0012090D"/>
    <w:rsid w:val="0012216C"/>
    <w:rsid w:val="00135717"/>
    <w:rsid w:val="001448D7"/>
    <w:rsid w:val="00157981"/>
    <w:rsid w:val="00164736"/>
    <w:rsid w:val="001707D2"/>
    <w:rsid w:val="00172CBD"/>
    <w:rsid w:val="00174177"/>
    <w:rsid w:val="00176AF0"/>
    <w:rsid w:val="0018069A"/>
    <w:rsid w:val="00180A28"/>
    <w:rsid w:val="001A2919"/>
    <w:rsid w:val="001A30DC"/>
    <w:rsid w:val="001A55DC"/>
    <w:rsid w:val="001B6342"/>
    <w:rsid w:val="001B658F"/>
    <w:rsid w:val="001B6601"/>
    <w:rsid w:val="001E2BFD"/>
    <w:rsid w:val="001E3196"/>
    <w:rsid w:val="001E5190"/>
    <w:rsid w:val="001F39CF"/>
    <w:rsid w:val="0020078B"/>
    <w:rsid w:val="00204B10"/>
    <w:rsid w:val="002054C2"/>
    <w:rsid w:val="0020724D"/>
    <w:rsid w:val="00215A77"/>
    <w:rsid w:val="00220D0A"/>
    <w:rsid w:val="002267D7"/>
    <w:rsid w:val="0023078A"/>
    <w:rsid w:val="00234E46"/>
    <w:rsid w:val="00246EB7"/>
    <w:rsid w:val="00250258"/>
    <w:rsid w:val="002523AA"/>
    <w:rsid w:val="002606AC"/>
    <w:rsid w:val="00271278"/>
    <w:rsid w:val="00272C6A"/>
    <w:rsid w:val="00273629"/>
    <w:rsid w:val="00291C14"/>
    <w:rsid w:val="00293B18"/>
    <w:rsid w:val="002963AA"/>
    <w:rsid w:val="00296F6E"/>
    <w:rsid w:val="00297119"/>
    <w:rsid w:val="002B0D2A"/>
    <w:rsid w:val="002B3A1E"/>
    <w:rsid w:val="002B4CAC"/>
    <w:rsid w:val="002C0CFF"/>
    <w:rsid w:val="002D047A"/>
    <w:rsid w:val="002D5B12"/>
    <w:rsid w:val="002E6B68"/>
    <w:rsid w:val="00301AB6"/>
    <w:rsid w:val="00304DC9"/>
    <w:rsid w:val="0030F4C8"/>
    <w:rsid w:val="0031267F"/>
    <w:rsid w:val="003245C7"/>
    <w:rsid w:val="00325DFC"/>
    <w:rsid w:val="00332481"/>
    <w:rsid w:val="00344739"/>
    <w:rsid w:val="003614C3"/>
    <w:rsid w:val="00366CCF"/>
    <w:rsid w:val="00371C01"/>
    <w:rsid w:val="00381025"/>
    <w:rsid w:val="00387303"/>
    <w:rsid w:val="003924D0"/>
    <w:rsid w:val="003A10D8"/>
    <w:rsid w:val="003A3DCE"/>
    <w:rsid w:val="003A47C9"/>
    <w:rsid w:val="003B451B"/>
    <w:rsid w:val="003C6C75"/>
    <w:rsid w:val="003D4449"/>
    <w:rsid w:val="003D5F6F"/>
    <w:rsid w:val="003F5C92"/>
    <w:rsid w:val="003F785C"/>
    <w:rsid w:val="00400402"/>
    <w:rsid w:val="0040195E"/>
    <w:rsid w:val="00404D4C"/>
    <w:rsid w:val="00421060"/>
    <w:rsid w:val="00423BF5"/>
    <w:rsid w:val="00424C1E"/>
    <w:rsid w:val="00436086"/>
    <w:rsid w:val="00436FF0"/>
    <w:rsid w:val="00440492"/>
    <w:rsid w:val="004408ED"/>
    <w:rsid w:val="004429F4"/>
    <w:rsid w:val="004475DD"/>
    <w:rsid w:val="004502E2"/>
    <w:rsid w:val="00453BF2"/>
    <w:rsid w:val="004562A7"/>
    <w:rsid w:val="00463439"/>
    <w:rsid w:val="004724BB"/>
    <w:rsid w:val="00480B84"/>
    <w:rsid w:val="004846DB"/>
    <w:rsid w:val="0049493E"/>
    <w:rsid w:val="004A2E58"/>
    <w:rsid w:val="004B04D6"/>
    <w:rsid w:val="004B0820"/>
    <w:rsid w:val="004B29E0"/>
    <w:rsid w:val="004B3570"/>
    <w:rsid w:val="004B6314"/>
    <w:rsid w:val="004C3A8C"/>
    <w:rsid w:val="004C654D"/>
    <w:rsid w:val="004D367D"/>
    <w:rsid w:val="004D3FB9"/>
    <w:rsid w:val="004E31D4"/>
    <w:rsid w:val="004E4F84"/>
    <w:rsid w:val="004F14AD"/>
    <w:rsid w:val="0050139A"/>
    <w:rsid w:val="00514587"/>
    <w:rsid w:val="005153DA"/>
    <w:rsid w:val="00517128"/>
    <w:rsid w:val="005172CF"/>
    <w:rsid w:val="00521510"/>
    <w:rsid w:val="00536CFE"/>
    <w:rsid w:val="00537BBD"/>
    <w:rsid w:val="005413CB"/>
    <w:rsid w:val="00543926"/>
    <w:rsid w:val="00545FE3"/>
    <w:rsid w:val="0055003F"/>
    <w:rsid w:val="00552045"/>
    <w:rsid w:val="005542B6"/>
    <w:rsid w:val="00555DC2"/>
    <w:rsid w:val="00561A3A"/>
    <w:rsid w:val="00563F13"/>
    <w:rsid w:val="00571C52"/>
    <w:rsid w:val="00573922"/>
    <w:rsid w:val="005759AC"/>
    <w:rsid w:val="005A24B0"/>
    <w:rsid w:val="005A2DFD"/>
    <w:rsid w:val="005A4937"/>
    <w:rsid w:val="005A5E5A"/>
    <w:rsid w:val="005B1E59"/>
    <w:rsid w:val="005B492E"/>
    <w:rsid w:val="005C2197"/>
    <w:rsid w:val="005C3619"/>
    <w:rsid w:val="005C3968"/>
    <w:rsid w:val="005D2260"/>
    <w:rsid w:val="00601383"/>
    <w:rsid w:val="00601FEA"/>
    <w:rsid w:val="00604246"/>
    <w:rsid w:val="00617695"/>
    <w:rsid w:val="00621662"/>
    <w:rsid w:val="006231AD"/>
    <w:rsid w:val="00624D79"/>
    <w:rsid w:val="00625725"/>
    <w:rsid w:val="00643BC4"/>
    <w:rsid w:val="00646707"/>
    <w:rsid w:val="00651CAA"/>
    <w:rsid w:val="0065315A"/>
    <w:rsid w:val="0065592B"/>
    <w:rsid w:val="006624A8"/>
    <w:rsid w:val="00665D5F"/>
    <w:rsid w:val="00665F07"/>
    <w:rsid w:val="00673629"/>
    <w:rsid w:val="0067575F"/>
    <w:rsid w:val="006879BE"/>
    <w:rsid w:val="006907BA"/>
    <w:rsid w:val="00697639"/>
    <w:rsid w:val="006A2ACA"/>
    <w:rsid w:val="006A3CEB"/>
    <w:rsid w:val="006A58F4"/>
    <w:rsid w:val="006A7653"/>
    <w:rsid w:val="006A7935"/>
    <w:rsid w:val="006B1816"/>
    <w:rsid w:val="006C0DBE"/>
    <w:rsid w:val="006C1164"/>
    <w:rsid w:val="006C6BE9"/>
    <w:rsid w:val="006D233B"/>
    <w:rsid w:val="006D62AE"/>
    <w:rsid w:val="006E2B47"/>
    <w:rsid w:val="006F496E"/>
    <w:rsid w:val="007021BB"/>
    <w:rsid w:val="00702DD2"/>
    <w:rsid w:val="007037FB"/>
    <w:rsid w:val="00712C2E"/>
    <w:rsid w:val="00716984"/>
    <w:rsid w:val="007171EA"/>
    <w:rsid w:val="00720F68"/>
    <w:rsid w:val="00723B5B"/>
    <w:rsid w:val="00724ED7"/>
    <w:rsid w:val="00727DDB"/>
    <w:rsid w:val="007304CC"/>
    <w:rsid w:val="00731002"/>
    <w:rsid w:val="0073246E"/>
    <w:rsid w:val="007406C0"/>
    <w:rsid w:val="0074073D"/>
    <w:rsid w:val="00744DE9"/>
    <w:rsid w:val="00745116"/>
    <w:rsid w:val="0076115E"/>
    <w:rsid w:val="00763048"/>
    <w:rsid w:val="0077190F"/>
    <w:rsid w:val="00773906"/>
    <w:rsid w:val="007765C5"/>
    <w:rsid w:val="00794210"/>
    <w:rsid w:val="0079652B"/>
    <w:rsid w:val="00797DEB"/>
    <w:rsid w:val="007A3C87"/>
    <w:rsid w:val="007C11FB"/>
    <w:rsid w:val="007D10C4"/>
    <w:rsid w:val="007D14C9"/>
    <w:rsid w:val="007E318C"/>
    <w:rsid w:val="007E3F14"/>
    <w:rsid w:val="007F3124"/>
    <w:rsid w:val="007F59C0"/>
    <w:rsid w:val="007F59FB"/>
    <w:rsid w:val="008027B6"/>
    <w:rsid w:val="00803397"/>
    <w:rsid w:val="00805E3E"/>
    <w:rsid w:val="00811FCA"/>
    <w:rsid w:val="00820D8F"/>
    <w:rsid w:val="008256E3"/>
    <w:rsid w:val="008371EB"/>
    <w:rsid w:val="008412D0"/>
    <w:rsid w:val="0084605D"/>
    <w:rsid w:val="00847040"/>
    <w:rsid w:val="00856539"/>
    <w:rsid w:val="0086130C"/>
    <w:rsid w:val="00867A89"/>
    <w:rsid w:val="00867F0C"/>
    <w:rsid w:val="00871A5C"/>
    <w:rsid w:val="008739A9"/>
    <w:rsid w:val="008766D2"/>
    <w:rsid w:val="00882EA9"/>
    <w:rsid w:val="00890B8E"/>
    <w:rsid w:val="008951AC"/>
    <w:rsid w:val="008A408D"/>
    <w:rsid w:val="008B12C0"/>
    <w:rsid w:val="008B13F9"/>
    <w:rsid w:val="008B4464"/>
    <w:rsid w:val="008B4587"/>
    <w:rsid w:val="008B6F2E"/>
    <w:rsid w:val="008C3744"/>
    <w:rsid w:val="008C786F"/>
    <w:rsid w:val="008E02E5"/>
    <w:rsid w:val="008E3358"/>
    <w:rsid w:val="008E735A"/>
    <w:rsid w:val="008E7809"/>
    <w:rsid w:val="008F2CCD"/>
    <w:rsid w:val="008F7364"/>
    <w:rsid w:val="009006AC"/>
    <w:rsid w:val="0093418F"/>
    <w:rsid w:val="009344C7"/>
    <w:rsid w:val="0093730E"/>
    <w:rsid w:val="00940075"/>
    <w:rsid w:val="00944B4E"/>
    <w:rsid w:val="00947322"/>
    <w:rsid w:val="00953574"/>
    <w:rsid w:val="00953A52"/>
    <w:rsid w:val="009564BC"/>
    <w:rsid w:val="00960762"/>
    <w:rsid w:val="009615D9"/>
    <w:rsid w:val="00964B35"/>
    <w:rsid w:val="009755B9"/>
    <w:rsid w:val="009829BF"/>
    <w:rsid w:val="00986929"/>
    <w:rsid w:val="00991886"/>
    <w:rsid w:val="00994371"/>
    <w:rsid w:val="00996FB0"/>
    <w:rsid w:val="009A04E3"/>
    <w:rsid w:val="009B1623"/>
    <w:rsid w:val="009B547A"/>
    <w:rsid w:val="009B7B93"/>
    <w:rsid w:val="009C0263"/>
    <w:rsid w:val="009D1707"/>
    <w:rsid w:val="009D2ABF"/>
    <w:rsid w:val="009D3AED"/>
    <w:rsid w:val="009D4581"/>
    <w:rsid w:val="009E1978"/>
    <w:rsid w:val="009E598A"/>
    <w:rsid w:val="009F08A6"/>
    <w:rsid w:val="00A0129D"/>
    <w:rsid w:val="00A04518"/>
    <w:rsid w:val="00A07354"/>
    <w:rsid w:val="00A07D01"/>
    <w:rsid w:val="00A13E92"/>
    <w:rsid w:val="00A1646D"/>
    <w:rsid w:val="00A24ECE"/>
    <w:rsid w:val="00A254C5"/>
    <w:rsid w:val="00A25BF0"/>
    <w:rsid w:val="00A3162D"/>
    <w:rsid w:val="00A327DF"/>
    <w:rsid w:val="00A33B33"/>
    <w:rsid w:val="00A35913"/>
    <w:rsid w:val="00A3642D"/>
    <w:rsid w:val="00A37FCF"/>
    <w:rsid w:val="00A503A3"/>
    <w:rsid w:val="00A62410"/>
    <w:rsid w:val="00A734AB"/>
    <w:rsid w:val="00A74C6B"/>
    <w:rsid w:val="00A81702"/>
    <w:rsid w:val="00A84587"/>
    <w:rsid w:val="00A8624B"/>
    <w:rsid w:val="00A92E2B"/>
    <w:rsid w:val="00A941D7"/>
    <w:rsid w:val="00A9559E"/>
    <w:rsid w:val="00AA0F3E"/>
    <w:rsid w:val="00AA2DDD"/>
    <w:rsid w:val="00AC2003"/>
    <w:rsid w:val="00AC4296"/>
    <w:rsid w:val="00AC4744"/>
    <w:rsid w:val="00AC7562"/>
    <w:rsid w:val="00AD1981"/>
    <w:rsid w:val="00AD1C7D"/>
    <w:rsid w:val="00AD3AD1"/>
    <w:rsid w:val="00AD6F7E"/>
    <w:rsid w:val="00AE57D1"/>
    <w:rsid w:val="00AE715B"/>
    <w:rsid w:val="00AF0675"/>
    <w:rsid w:val="00AF4CD6"/>
    <w:rsid w:val="00AF5081"/>
    <w:rsid w:val="00B02DC8"/>
    <w:rsid w:val="00B048A5"/>
    <w:rsid w:val="00B0501B"/>
    <w:rsid w:val="00B07F62"/>
    <w:rsid w:val="00B11D5D"/>
    <w:rsid w:val="00B144BD"/>
    <w:rsid w:val="00B22AB3"/>
    <w:rsid w:val="00B24E0A"/>
    <w:rsid w:val="00B30889"/>
    <w:rsid w:val="00B421E5"/>
    <w:rsid w:val="00B43A6F"/>
    <w:rsid w:val="00B7012A"/>
    <w:rsid w:val="00B75FE2"/>
    <w:rsid w:val="00B915E9"/>
    <w:rsid w:val="00B95182"/>
    <w:rsid w:val="00BA4014"/>
    <w:rsid w:val="00BB20E4"/>
    <w:rsid w:val="00BB25CF"/>
    <w:rsid w:val="00BB3F7C"/>
    <w:rsid w:val="00BB6427"/>
    <w:rsid w:val="00BB736E"/>
    <w:rsid w:val="00BB7B85"/>
    <w:rsid w:val="00BC007D"/>
    <w:rsid w:val="00BC1DBC"/>
    <w:rsid w:val="00BC70FD"/>
    <w:rsid w:val="00BD547D"/>
    <w:rsid w:val="00BD5630"/>
    <w:rsid w:val="00BE127F"/>
    <w:rsid w:val="00BE2AB3"/>
    <w:rsid w:val="00BE5F58"/>
    <w:rsid w:val="00BF1272"/>
    <w:rsid w:val="00BF3007"/>
    <w:rsid w:val="00C06631"/>
    <w:rsid w:val="00C2446D"/>
    <w:rsid w:val="00C26246"/>
    <w:rsid w:val="00C26FFB"/>
    <w:rsid w:val="00C35BB3"/>
    <w:rsid w:val="00C411B8"/>
    <w:rsid w:val="00C42A02"/>
    <w:rsid w:val="00C50C8F"/>
    <w:rsid w:val="00C5190D"/>
    <w:rsid w:val="00C53F61"/>
    <w:rsid w:val="00C54CB0"/>
    <w:rsid w:val="00C63E9B"/>
    <w:rsid w:val="00C63FBD"/>
    <w:rsid w:val="00C6451A"/>
    <w:rsid w:val="00C93222"/>
    <w:rsid w:val="00C94185"/>
    <w:rsid w:val="00C95C97"/>
    <w:rsid w:val="00CA4586"/>
    <w:rsid w:val="00CB15CE"/>
    <w:rsid w:val="00CB204F"/>
    <w:rsid w:val="00CD095D"/>
    <w:rsid w:val="00CD0AA9"/>
    <w:rsid w:val="00CD1535"/>
    <w:rsid w:val="00CE24F4"/>
    <w:rsid w:val="00D07608"/>
    <w:rsid w:val="00D12FFC"/>
    <w:rsid w:val="00D15E20"/>
    <w:rsid w:val="00D21228"/>
    <w:rsid w:val="00D26618"/>
    <w:rsid w:val="00D31E74"/>
    <w:rsid w:val="00D3565E"/>
    <w:rsid w:val="00D36BB2"/>
    <w:rsid w:val="00D51374"/>
    <w:rsid w:val="00D55C61"/>
    <w:rsid w:val="00D61569"/>
    <w:rsid w:val="00D65BAF"/>
    <w:rsid w:val="00D75400"/>
    <w:rsid w:val="00D7713C"/>
    <w:rsid w:val="00D77377"/>
    <w:rsid w:val="00D77EC3"/>
    <w:rsid w:val="00D93115"/>
    <w:rsid w:val="00D975E4"/>
    <w:rsid w:val="00DA1834"/>
    <w:rsid w:val="00DA2077"/>
    <w:rsid w:val="00DB3CF5"/>
    <w:rsid w:val="00DB511B"/>
    <w:rsid w:val="00DC3EFC"/>
    <w:rsid w:val="00DD46B6"/>
    <w:rsid w:val="00DE0229"/>
    <w:rsid w:val="00DE76AE"/>
    <w:rsid w:val="00DF5A48"/>
    <w:rsid w:val="00DF5C60"/>
    <w:rsid w:val="00E065DA"/>
    <w:rsid w:val="00E15C7F"/>
    <w:rsid w:val="00E26192"/>
    <w:rsid w:val="00E27B98"/>
    <w:rsid w:val="00E359B9"/>
    <w:rsid w:val="00E46B35"/>
    <w:rsid w:val="00E719D0"/>
    <w:rsid w:val="00E7217A"/>
    <w:rsid w:val="00E76A56"/>
    <w:rsid w:val="00E808A3"/>
    <w:rsid w:val="00E913CC"/>
    <w:rsid w:val="00EA2408"/>
    <w:rsid w:val="00EA2553"/>
    <w:rsid w:val="00EA2B4A"/>
    <w:rsid w:val="00EB3E22"/>
    <w:rsid w:val="00EC0727"/>
    <w:rsid w:val="00EC1FD2"/>
    <w:rsid w:val="00EC5CF7"/>
    <w:rsid w:val="00ED6D30"/>
    <w:rsid w:val="00EE04A4"/>
    <w:rsid w:val="00EE1C2E"/>
    <w:rsid w:val="00EE44D3"/>
    <w:rsid w:val="00EF08B2"/>
    <w:rsid w:val="00EF1014"/>
    <w:rsid w:val="00F00C5C"/>
    <w:rsid w:val="00F02065"/>
    <w:rsid w:val="00F039DF"/>
    <w:rsid w:val="00F060B6"/>
    <w:rsid w:val="00F10E43"/>
    <w:rsid w:val="00F217AB"/>
    <w:rsid w:val="00F22898"/>
    <w:rsid w:val="00F23DE9"/>
    <w:rsid w:val="00F32D66"/>
    <w:rsid w:val="00F36AF5"/>
    <w:rsid w:val="00F503B1"/>
    <w:rsid w:val="00F537D8"/>
    <w:rsid w:val="00F555F7"/>
    <w:rsid w:val="00F65D11"/>
    <w:rsid w:val="00F72E74"/>
    <w:rsid w:val="00F75B94"/>
    <w:rsid w:val="00F82C7E"/>
    <w:rsid w:val="00F93E77"/>
    <w:rsid w:val="00F97D01"/>
    <w:rsid w:val="00FB3700"/>
    <w:rsid w:val="00FB4A2E"/>
    <w:rsid w:val="00FC558F"/>
    <w:rsid w:val="00FC7CE1"/>
    <w:rsid w:val="00FF3F52"/>
    <w:rsid w:val="03625129"/>
    <w:rsid w:val="041D5C2E"/>
    <w:rsid w:val="043F979E"/>
    <w:rsid w:val="052D64FF"/>
    <w:rsid w:val="05734D4A"/>
    <w:rsid w:val="05793CDB"/>
    <w:rsid w:val="05DC6CFE"/>
    <w:rsid w:val="061FB6D1"/>
    <w:rsid w:val="06B27803"/>
    <w:rsid w:val="07AC6DC9"/>
    <w:rsid w:val="0A0885D4"/>
    <w:rsid w:val="0B4B4C27"/>
    <w:rsid w:val="0B525CF4"/>
    <w:rsid w:val="0C83EE1F"/>
    <w:rsid w:val="0CE898A4"/>
    <w:rsid w:val="0D5B8D3B"/>
    <w:rsid w:val="0D79C25B"/>
    <w:rsid w:val="0DF65BDF"/>
    <w:rsid w:val="0F772392"/>
    <w:rsid w:val="11846D74"/>
    <w:rsid w:val="11A700C3"/>
    <w:rsid w:val="11FAD39F"/>
    <w:rsid w:val="122E1807"/>
    <w:rsid w:val="12322DAB"/>
    <w:rsid w:val="12538142"/>
    <w:rsid w:val="12D785AD"/>
    <w:rsid w:val="1388D409"/>
    <w:rsid w:val="1391A582"/>
    <w:rsid w:val="13AFC068"/>
    <w:rsid w:val="1439E16E"/>
    <w:rsid w:val="145A5ABD"/>
    <w:rsid w:val="155A447D"/>
    <w:rsid w:val="157F2F63"/>
    <w:rsid w:val="15AC1171"/>
    <w:rsid w:val="1653907C"/>
    <w:rsid w:val="18F6D223"/>
    <w:rsid w:val="19AC6A3F"/>
    <w:rsid w:val="1B0EDD2B"/>
    <w:rsid w:val="1C03FBD2"/>
    <w:rsid w:val="1CA2F22F"/>
    <w:rsid w:val="1CA47A4F"/>
    <w:rsid w:val="1CF1B368"/>
    <w:rsid w:val="1D791400"/>
    <w:rsid w:val="1DEA3D92"/>
    <w:rsid w:val="1DF064FF"/>
    <w:rsid w:val="1E133332"/>
    <w:rsid w:val="1F1FD724"/>
    <w:rsid w:val="1FB36724"/>
    <w:rsid w:val="205FF12B"/>
    <w:rsid w:val="206B810A"/>
    <w:rsid w:val="2081AED8"/>
    <w:rsid w:val="208925FC"/>
    <w:rsid w:val="20CC2598"/>
    <w:rsid w:val="20CE731C"/>
    <w:rsid w:val="212CEFFC"/>
    <w:rsid w:val="23D23912"/>
    <w:rsid w:val="245541A6"/>
    <w:rsid w:val="263D2812"/>
    <w:rsid w:val="27C47915"/>
    <w:rsid w:val="27FA9487"/>
    <w:rsid w:val="28929322"/>
    <w:rsid w:val="296795BE"/>
    <w:rsid w:val="29B9BAA3"/>
    <w:rsid w:val="29E9752F"/>
    <w:rsid w:val="2B108976"/>
    <w:rsid w:val="2C147D68"/>
    <w:rsid w:val="2CA6618C"/>
    <w:rsid w:val="2D7410B8"/>
    <w:rsid w:val="2DBC2B35"/>
    <w:rsid w:val="2E71FB6E"/>
    <w:rsid w:val="2EA89C89"/>
    <w:rsid w:val="2F30F645"/>
    <w:rsid w:val="2FB047FC"/>
    <w:rsid w:val="2FD01ADA"/>
    <w:rsid w:val="31167901"/>
    <w:rsid w:val="3205660C"/>
    <w:rsid w:val="332C8B1F"/>
    <w:rsid w:val="3352D799"/>
    <w:rsid w:val="345DA321"/>
    <w:rsid w:val="34B29DFF"/>
    <w:rsid w:val="351E53D4"/>
    <w:rsid w:val="35DE9C84"/>
    <w:rsid w:val="366F1835"/>
    <w:rsid w:val="3756CAD3"/>
    <w:rsid w:val="375F753B"/>
    <w:rsid w:val="37A47BC4"/>
    <w:rsid w:val="394EDE33"/>
    <w:rsid w:val="39B769D6"/>
    <w:rsid w:val="39CDAD3E"/>
    <w:rsid w:val="3A1F8575"/>
    <w:rsid w:val="3BF9A08F"/>
    <w:rsid w:val="3CF3B2B5"/>
    <w:rsid w:val="3FA4DF2F"/>
    <w:rsid w:val="40740126"/>
    <w:rsid w:val="41D04FC4"/>
    <w:rsid w:val="427618FB"/>
    <w:rsid w:val="42F4DDEE"/>
    <w:rsid w:val="439A0D1F"/>
    <w:rsid w:val="43A66420"/>
    <w:rsid w:val="44071204"/>
    <w:rsid w:val="4465D034"/>
    <w:rsid w:val="45B4AF84"/>
    <w:rsid w:val="45EB1440"/>
    <w:rsid w:val="4644B24B"/>
    <w:rsid w:val="465FBF87"/>
    <w:rsid w:val="46A48685"/>
    <w:rsid w:val="488F6712"/>
    <w:rsid w:val="48A7702C"/>
    <w:rsid w:val="49FD5A38"/>
    <w:rsid w:val="4A5618BF"/>
    <w:rsid w:val="4AB94297"/>
    <w:rsid w:val="4B2875E0"/>
    <w:rsid w:val="4B4EDAA0"/>
    <w:rsid w:val="4B7AF811"/>
    <w:rsid w:val="4BAB48C2"/>
    <w:rsid w:val="4C32D5DC"/>
    <w:rsid w:val="4C6132ED"/>
    <w:rsid w:val="4CD41FE6"/>
    <w:rsid w:val="4D480354"/>
    <w:rsid w:val="4E15B268"/>
    <w:rsid w:val="4F50EE14"/>
    <w:rsid w:val="4F5B5587"/>
    <w:rsid w:val="4F8FBA9C"/>
    <w:rsid w:val="513DC036"/>
    <w:rsid w:val="51633B60"/>
    <w:rsid w:val="517CEA46"/>
    <w:rsid w:val="524622D3"/>
    <w:rsid w:val="530B5CCC"/>
    <w:rsid w:val="543A891B"/>
    <w:rsid w:val="544956FA"/>
    <w:rsid w:val="54606AF8"/>
    <w:rsid w:val="54BC7279"/>
    <w:rsid w:val="55F045F6"/>
    <w:rsid w:val="5644F83C"/>
    <w:rsid w:val="5666A9D4"/>
    <w:rsid w:val="56835F2F"/>
    <w:rsid w:val="59C82884"/>
    <w:rsid w:val="5A300ED8"/>
    <w:rsid w:val="5B06D54D"/>
    <w:rsid w:val="5BA20770"/>
    <w:rsid w:val="5C076BA9"/>
    <w:rsid w:val="5D688F6A"/>
    <w:rsid w:val="5D7B1711"/>
    <w:rsid w:val="5EBD22F6"/>
    <w:rsid w:val="6077F44D"/>
    <w:rsid w:val="60906DAA"/>
    <w:rsid w:val="613983A0"/>
    <w:rsid w:val="62126DC4"/>
    <w:rsid w:val="6235C334"/>
    <w:rsid w:val="624A798E"/>
    <w:rsid w:val="625BEFEB"/>
    <w:rsid w:val="62ACDC52"/>
    <w:rsid w:val="63270E81"/>
    <w:rsid w:val="633051C2"/>
    <w:rsid w:val="6410FDFB"/>
    <w:rsid w:val="64192C2B"/>
    <w:rsid w:val="6612F58C"/>
    <w:rsid w:val="66F0FB22"/>
    <w:rsid w:val="695F9ABF"/>
    <w:rsid w:val="69779540"/>
    <w:rsid w:val="6A13B284"/>
    <w:rsid w:val="6B573215"/>
    <w:rsid w:val="6BC62C77"/>
    <w:rsid w:val="6C3BB044"/>
    <w:rsid w:val="6C462EF3"/>
    <w:rsid w:val="6C63600B"/>
    <w:rsid w:val="6D277ED3"/>
    <w:rsid w:val="6D6B4129"/>
    <w:rsid w:val="6DAEB171"/>
    <w:rsid w:val="6DC13B07"/>
    <w:rsid w:val="6DE0D578"/>
    <w:rsid w:val="6DFAB9FB"/>
    <w:rsid w:val="6E68921D"/>
    <w:rsid w:val="6EB545C7"/>
    <w:rsid w:val="6F0692F7"/>
    <w:rsid w:val="6F7B8AD6"/>
    <w:rsid w:val="6FA81672"/>
    <w:rsid w:val="6FCAD8EF"/>
    <w:rsid w:val="722CCD86"/>
    <w:rsid w:val="7238DC4B"/>
    <w:rsid w:val="7260ED0A"/>
    <w:rsid w:val="72A83868"/>
    <w:rsid w:val="72CBB800"/>
    <w:rsid w:val="73530ADE"/>
    <w:rsid w:val="7392F557"/>
    <w:rsid w:val="752D6029"/>
    <w:rsid w:val="758F77AC"/>
    <w:rsid w:val="75C2D026"/>
    <w:rsid w:val="75F7E34E"/>
    <w:rsid w:val="7604DD55"/>
    <w:rsid w:val="768CDFEB"/>
    <w:rsid w:val="76F899B7"/>
    <w:rsid w:val="772A0EEF"/>
    <w:rsid w:val="77DEB88D"/>
    <w:rsid w:val="77F3A8AC"/>
    <w:rsid w:val="78C3237B"/>
    <w:rsid w:val="7952B45C"/>
    <w:rsid w:val="7A093D46"/>
    <w:rsid w:val="7C87D7C0"/>
    <w:rsid w:val="7CBC7CF2"/>
    <w:rsid w:val="7CD9A5B8"/>
    <w:rsid w:val="7D7F21B9"/>
    <w:rsid w:val="7DB13ECC"/>
    <w:rsid w:val="7DE0B737"/>
    <w:rsid w:val="7E24261D"/>
    <w:rsid w:val="7E29199A"/>
    <w:rsid w:val="7F19C61A"/>
    <w:rsid w:val="7F462D1A"/>
    <w:rsid w:val="7FA3985F"/>
    <w:rsid w:val="7FB8F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3B284"/>
  <w15:chartTrackingRefBased/>
  <w15:docId w15:val="{6156C45D-DE6E-44C5-AC22-BD9AD854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E71FB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12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1278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E71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15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E71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15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E715B"/>
    <w:rPr>
      <w:b/>
      <w:bCs/>
      <w:sz w:val="20"/>
      <w:szCs w:val="20"/>
    </w:rPr>
  </w:style>
  <w:style w:type="numbering" w:styleId="CurrentList1" w:customStyle="1">
    <w:name w:val="Current List1"/>
    <w:uiPriority w:val="99"/>
    <w:rsid w:val="005C3619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emf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3.emf" Id="rId7" /><Relationship Type="http://schemas.openxmlformats.org/officeDocument/2006/relationships/hyperlink" Target="https://one.uwmedicine.org/sites/compliance/billing/profee/Policies%20and%20Procedures/Medical%20Student%20Documentation%20for%20EM%20Services%20FAQ%20.pdf" TargetMode="Externa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emf" Id="rId6" /><Relationship Type="http://schemas.openxmlformats.org/officeDocument/2006/relationships/image" Target="media/image7.png" Id="rId11" /><Relationship Type="http://schemas.openxmlformats.org/officeDocument/2006/relationships/image" Target="media/image1.emf" Id="rId5" /><Relationship Type="http://schemas.openxmlformats.org/officeDocument/2006/relationships/image" Target="media/image6.emf" Id="rId10" /><Relationship Type="http://schemas.openxmlformats.org/officeDocument/2006/relationships/webSettings" Target="webSettings.xml" Id="rId4" /><Relationship Type="http://schemas.openxmlformats.org/officeDocument/2006/relationships/image" Target="media/image5.emf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vivianqy</dc:creator>
  <keywords/>
  <dc:description/>
  <lastModifiedBy>vivianqy</lastModifiedBy>
  <revision>463</revision>
  <dcterms:created xsi:type="dcterms:W3CDTF">2025-11-20T01:51:00.0000000Z</dcterms:created>
  <dcterms:modified xsi:type="dcterms:W3CDTF">2026-06-17T23:56:28.8098739Z</dcterms:modified>
</coreProperties>
</file>