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21AC" w14:textId="77777777" w:rsidR="004262F9" w:rsidRDefault="00BD078A">
      <w:pPr>
        <w:pStyle w:val="Title"/>
        <w:ind w:hanging="2"/>
      </w:pPr>
      <w:r>
        <w:rPr>
          <w:b/>
        </w:rPr>
        <w:t>SUBMISSION GUIDELINES FOR THE 2023 NORTHWEST BIOMECHANICS SYMPOSIUM</w:t>
      </w:r>
    </w:p>
    <w:p w14:paraId="7E58ABB5" w14:textId="77777777" w:rsidR="004262F9" w:rsidRDefault="00BD078A">
      <w:pPr>
        <w:ind w:hanging="2"/>
        <w:jc w:val="center"/>
        <w:rPr>
          <w:sz w:val="20"/>
          <w:szCs w:val="20"/>
        </w:rPr>
      </w:pPr>
      <w:r>
        <w:rPr>
          <w:sz w:val="20"/>
          <w:szCs w:val="20"/>
        </w:rPr>
        <w:t>Muir, BC</w:t>
      </w:r>
      <w:r>
        <w:rPr>
          <w:sz w:val="20"/>
          <w:szCs w:val="20"/>
          <w:vertAlign w:val="superscript"/>
        </w:rPr>
        <w:t>1,3</w:t>
      </w:r>
      <w:r>
        <w:rPr>
          <w:sz w:val="20"/>
          <w:szCs w:val="20"/>
        </w:rPr>
        <w:t>, Klute, G</w:t>
      </w:r>
      <w:r>
        <w:rPr>
          <w:sz w:val="20"/>
          <w:szCs w:val="20"/>
          <w:vertAlign w:val="superscript"/>
        </w:rPr>
        <w:t>1,3</w:t>
      </w:r>
      <w:r>
        <w:rPr>
          <w:sz w:val="20"/>
          <w:szCs w:val="20"/>
        </w:rPr>
        <w:t xml:space="preserve"> and Ledoux, WR</w:t>
      </w:r>
      <w:r>
        <w:rPr>
          <w:sz w:val="20"/>
          <w:szCs w:val="20"/>
          <w:vertAlign w:val="superscript"/>
        </w:rPr>
        <w:t>1,2,3</w:t>
      </w:r>
      <w:r>
        <w:rPr>
          <w:sz w:val="20"/>
          <w:szCs w:val="20"/>
        </w:rPr>
        <w:t xml:space="preserve"> </w:t>
      </w:r>
    </w:p>
    <w:p w14:paraId="2AC03212" w14:textId="77777777" w:rsidR="004262F9" w:rsidRDefault="00BD078A">
      <w:pPr>
        <w:ind w:hanging="2"/>
        <w:jc w:val="center"/>
        <w:rPr>
          <w:sz w:val="20"/>
          <w:szCs w:val="20"/>
        </w:rPr>
      </w:pPr>
      <w:r>
        <w:rPr>
          <w:sz w:val="20"/>
          <w:szCs w:val="20"/>
        </w:rPr>
        <w:t xml:space="preserve">Departments of </w:t>
      </w:r>
      <w:r>
        <w:rPr>
          <w:sz w:val="20"/>
          <w:szCs w:val="20"/>
          <w:vertAlign w:val="superscript"/>
        </w:rPr>
        <w:t>1</w:t>
      </w:r>
      <w:r>
        <w:rPr>
          <w:sz w:val="20"/>
          <w:szCs w:val="20"/>
        </w:rPr>
        <w:t xml:space="preserve">Mechanical Engineering, and </w:t>
      </w:r>
      <w:r>
        <w:rPr>
          <w:sz w:val="20"/>
          <w:szCs w:val="20"/>
          <w:vertAlign w:val="superscript"/>
        </w:rPr>
        <w:t>2</w:t>
      </w:r>
      <w:r>
        <w:rPr>
          <w:sz w:val="20"/>
          <w:szCs w:val="20"/>
        </w:rPr>
        <w:t>Orthopaedics and Sports Medicine, University of Washington</w:t>
      </w:r>
    </w:p>
    <w:p w14:paraId="2A4DA4FF" w14:textId="77777777" w:rsidR="004262F9" w:rsidRDefault="00BD078A">
      <w:pPr>
        <w:ind w:hanging="2"/>
        <w:jc w:val="center"/>
        <w:rPr>
          <w:sz w:val="20"/>
          <w:szCs w:val="20"/>
        </w:rPr>
      </w:pPr>
      <w:r>
        <w:rPr>
          <w:sz w:val="20"/>
          <w:szCs w:val="20"/>
          <w:vertAlign w:val="superscript"/>
        </w:rPr>
        <w:t>3</w:t>
      </w:r>
      <w:r>
        <w:rPr>
          <w:sz w:val="20"/>
          <w:szCs w:val="20"/>
        </w:rPr>
        <w:t>RR&amp;D Center of Excellence, Department of Veterans Affairs, Seattle, WA USA</w:t>
      </w:r>
    </w:p>
    <w:p w14:paraId="7FBF96E9" w14:textId="77777777" w:rsidR="004262F9" w:rsidRDefault="00BD078A">
      <w:pPr>
        <w:ind w:hanging="2"/>
        <w:jc w:val="center"/>
        <w:rPr>
          <w:sz w:val="18"/>
          <w:szCs w:val="18"/>
          <w:highlight w:val="yellow"/>
        </w:rPr>
      </w:pPr>
      <w:r>
        <w:rPr>
          <w:sz w:val="20"/>
          <w:szCs w:val="20"/>
        </w:rPr>
        <w:t xml:space="preserve">email: bcmuir@uw.edu, web: </w:t>
      </w:r>
      <w:hyperlink r:id="rId5">
        <w:r>
          <w:rPr>
            <w:color w:val="0000FF"/>
            <w:sz w:val="20"/>
            <w:szCs w:val="20"/>
            <w:u w:val="single"/>
          </w:rPr>
          <w:t>https://depts.washington.edu</w:t>
        </w:r>
        <w:r>
          <w:rPr>
            <w:color w:val="0000FF"/>
            <w:sz w:val="20"/>
            <w:szCs w:val="20"/>
            <w:u w:val="single"/>
          </w:rPr>
          <w:t>/nwbs/2023/index.htm</w:t>
        </w:r>
      </w:hyperlink>
    </w:p>
    <w:p w14:paraId="740D6566" w14:textId="77777777" w:rsidR="004262F9" w:rsidRDefault="004262F9">
      <w:pPr>
        <w:ind w:hanging="2"/>
        <w:jc w:val="center"/>
        <w:rPr>
          <w:sz w:val="20"/>
          <w:szCs w:val="20"/>
        </w:rPr>
        <w:sectPr w:rsidR="004262F9">
          <w:pgSz w:w="12240" w:h="15840"/>
          <w:pgMar w:top="1138" w:right="850" w:bottom="1138" w:left="850" w:header="850" w:footer="994" w:gutter="0"/>
          <w:pgNumType w:start="1"/>
          <w:cols w:space="720"/>
        </w:sectPr>
      </w:pPr>
    </w:p>
    <w:p w14:paraId="40F7E487" w14:textId="77777777" w:rsidR="004262F9" w:rsidRDefault="00BD078A">
      <w:pPr>
        <w:pStyle w:val="Heading1"/>
        <w:ind w:hanging="2"/>
        <w:jc w:val="left"/>
        <w:rPr>
          <w:sz w:val="20"/>
          <w:szCs w:val="20"/>
        </w:rPr>
      </w:pPr>
      <w:r>
        <w:rPr>
          <w:b/>
          <w:sz w:val="20"/>
          <w:szCs w:val="20"/>
        </w:rPr>
        <w:t>INTRODUCTION</w:t>
      </w:r>
    </w:p>
    <w:p w14:paraId="0106ED3B" w14:textId="77777777" w:rsidR="004262F9" w:rsidRDefault="00BD078A">
      <w:pPr>
        <w:ind w:hanging="2"/>
        <w:jc w:val="both"/>
        <w:rPr>
          <w:sz w:val="20"/>
          <w:szCs w:val="20"/>
        </w:rPr>
      </w:pPr>
      <w:r>
        <w:rPr>
          <w:sz w:val="20"/>
          <w:szCs w:val="20"/>
        </w:rPr>
        <w:t>We are pleased to announce the 18</w:t>
      </w:r>
      <w:r>
        <w:rPr>
          <w:sz w:val="20"/>
          <w:szCs w:val="20"/>
          <w:vertAlign w:val="superscript"/>
        </w:rPr>
        <w:t>th</w:t>
      </w:r>
      <w:r>
        <w:rPr>
          <w:sz w:val="20"/>
          <w:szCs w:val="20"/>
        </w:rPr>
        <w:t xml:space="preserve"> Northwest Biomechanics Symposium (NWBS) to be held May 19-20, 2023 at the University of Washington in Seattle, WA. These instructi</w:t>
      </w:r>
      <w:r>
        <w:rPr>
          <w:sz w:val="20"/>
          <w:szCs w:val="20"/>
        </w:rPr>
        <w:t>ons contain information about the abstract submission process and represent a model for abstract formatting. All abstracts for the 2023 NWBS must be submitted electronically by 11:59 pm on March 20, 2023 following the instructions posted on the website:</w:t>
      </w:r>
      <w:r>
        <w:rPr>
          <w:noProof/>
        </w:rPr>
        <mc:AlternateContent>
          <mc:Choice Requires="wps">
            <w:drawing>
              <wp:anchor distT="0" distB="0" distL="114300" distR="114300" simplePos="0" relativeHeight="251658240" behindDoc="0" locked="0" layoutInCell="1" hidden="0" allowOverlap="1" wp14:anchorId="04B09522" wp14:editId="0555FA51">
                <wp:simplePos x="0" y="0"/>
                <wp:positionH relativeFrom="column">
                  <wp:posOffset>3390900</wp:posOffset>
                </wp:positionH>
                <wp:positionV relativeFrom="paragraph">
                  <wp:posOffset>304800</wp:posOffset>
                </wp:positionV>
                <wp:extent cx="3219450" cy="2364105"/>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3741038" y="2602710"/>
                          <a:ext cx="3209925" cy="2354580"/>
                        </a:xfrm>
                        <a:prstGeom prst="rect">
                          <a:avLst/>
                        </a:prstGeom>
                        <a:solidFill>
                          <a:srgbClr val="FFFFFF"/>
                        </a:solidFill>
                        <a:ln>
                          <a:noFill/>
                        </a:ln>
                      </wps:spPr>
                      <wps:txbx>
                        <w:txbxContent>
                          <w:p w14:paraId="5CAC0042" w14:textId="2842B799" w:rsidR="00BD078A" w:rsidRDefault="00BD078A">
                            <w:pPr>
                              <w:ind w:hanging="2"/>
                              <w:textDirection w:val="btLr"/>
                              <w:rPr>
                                <w:b/>
                                <w:color w:val="000000"/>
                                <w:sz w:val="20"/>
                              </w:rPr>
                            </w:pPr>
                            <w:r>
                              <w:rPr>
                                <w:noProof/>
                              </w:rPr>
                              <w:drawing>
                                <wp:inline distT="0" distB="0" distL="0" distR="0" wp14:anchorId="351AE9AA" wp14:editId="54A2C615">
                                  <wp:extent cx="3036570" cy="1830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36570" cy="1830070"/>
                                          </a:xfrm>
                                          <a:prstGeom prst="rect">
                                            <a:avLst/>
                                          </a:prstGeom>
                                        </pic:spPr>
                                      </pic:pic>
                                    </a:graphicData>
                                  </a:graphic>
                                </wp:inline>
                              </w:drawing>
                            </w:r>
                          </w:p>
                          <w:p w14:paraId="55D277A5" w14:textId="480E0393" w:rsidR="004262F9" w:rsidRDefault="00BD078A">
                            <w:pPr>
                              <w:ind w:hanging="2"/>
                              <w:textDirection w:val="btLr"/>
                            </w:pPr>
                            <w:r>
                              <w:rPr>
                                <w:b/>
                                <w:color w:val="000000"/>
                                <w:sz w:val="20"/>
                              </w:rPr>
                              <w:t>Figure 1</w:t>
                            </w:r>
                            <w:r>
                              <w:rPr>
                                <w:color w:val="000000"/>
                                <w:sz w:val="20"/>
                              </w:rPr>
                              <w:t>: Ensure that text and graphics are readable and can be clearly understood. Color can be used and will display on the online version of the abstract.</w:t>
                            </w:r>
                          </w:p>
                        </w:txbxContent>
                      </wps:txbx>
                      <wps:bodyPr spcFirstLastPara="1" wrap="square" lIns="91425" tIns="45700" rIns="91425" bIns="45700" anchor="t" anchorCtr="0">
                        <a:noAutofit/>
                      </wps:bodyPr>
                    </wps:wsp>
                  </a:graphicData>
                </a:graphic>
              </wp:anchor>
            </w:drawing>
          </mc:Choice>
          <mc:Fallback>
            <w:pict>
              <v:rect w14:anchorId="04B09522" id="_x0000_s1026" style="position:absolute;left:0;text-align:left;margin-left:267pt;margin-top:24pt;width:253.5pt;height:18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" stroked="f">
                <v:textbox inset="2.53958mm,1.2694mm,2.53958mm,1.2694mm">
                  <w:txbxContent>
                    <w:p w14:paraId="5CAC0042" w14:textId="2842B799" w:rsidR="00BD078A" w:rsidRDefault="00BD078A">
                      <w:pPr>
                        <w:ind w:hanging="2"/>
                        <w:textDirection w:val="btLr"/>
                        <w:rPr>
                          <w:b/>
                          <w:color w:val="000000"/>
                          <w:sz w:val="20"/>
                        </w:rPr>
                      </w:pPr>
                      <w:r>
                        <w:rPr>
                          <w:noProof/>
                        </w:rPr>
                        <w:drawing>
                          <wp:inline distT="0" distB="0" distL="0" distR="0" wp14:anchorId="351AE9AA" wp14:editId="54A2C615">
                            <wp:extent cx="3036570" cy="1830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36570" cy="1830070"/>
                                    </a:xfrm>
                                    <a:prstGeom prst="rect">
                                      <a:avLst/>
                                    </a:prstGeom>
                                  </pic:spPr>
                                </pic:pic>
                              </a:graphicData>
                            </a:graphic>
                          </wp:inline>
                        </w:drawing>
                      </w:r>
                    </w:p>
                    <w:p w14:paraId="55D277A5" w14:textId="480E0393" w:rsidR="004262F9" w:rsidRDefault="00BD078A">
                      <w:pPr>
                        <w:ind w:hanging="2"/>
                        <w:textDirection w:val="btLr"/>
                      </w:pPr>
                      <w:r>
                        <w:rPr>
                          <w:b/>
                          <w:color w:val="000000"/>
                          <w:sz w:val="20"/>
                        </w:rPr>
                        <w:t>Figure 1</w:t>
                      </w:r>
                      <w:r>
                        <w:rPr>
                          <w:color w:val="000000"/>
                          <w:sz w:val="20"/>
                        </w:rPr>
                        <w:t>: Ensure that text and graphics are readable and can be clearly understood. Color can be used and will display on the online version of the abstract.</w:t>
                      </w:r>
                    </w:p>
                  </w:txbxContent>
                </v:textbox>
                <w10:wrap type="square"/>
              </v:rect>
            </w:pict>
          </mc:Fallback>
        </mc:AlternateContent>
      </w:r>
    </w:p>
    <w:p w14:paraId="01C7B047" w14:textId="77777777" w:rsidR="004262F9" w:rsidRDefault="00BD078A">
      <w:pPr>
        <w:spacing w:after="160" w:line="259" w:lineRule="auto"/>
        <w:ind w:hanging="2"/>
        <w:rPr>
          <w:sz w:val="18"/>
          <w:szCs w:val="18"/>
          <w:highlight w:val="yellow"/>
        </w:rPr>
      </w:pPr>
      <w:hyperlink r:id="rId7">
        <w:r>
          <w:rPr>
            <w:color w:val="1155CC"/>
            <w:sz w:val="20"/>
            <w:szCs w:val="20"/>
            <w:u w:val="single"/>
          </w:rPr>
          <w:t>https://depts.washington.edu/n</w:t>
        </w:r>
        <w:r>
          <w:rPr>
            <w:color w:val="1155CC"/>
            <w:sz w:val="20"/>
            <w:szCs w:val="20"/>
            <w:u w:val="single"/>
          </w:rPr>
          <w:t>wbs/2023/index.htm</w:t>
        </w:r>
      </w:hyperlink>
    </w:p>
    <w:p w14:paraId="64C23DFA" w14:textId="77777777" w:rsidR="004262F9" w:rsidRDefault="00BD078A">
      <w:pPr>
        <w:ind w:hanging="2"/>
        <w:jc w:val="both"/>
        <w:rPr>
          <w:sz w:val="20"/>
          <w:szCs w:val="20"/>
        </w:rPr>
      </w:pPr>
      <w:r>
        <w:rPr>
          <w:sz w:val="20"/>
          <w:szCs w:val="20"/>
        </w:rPr>
        <w:t>All abstracts must be submitted as PDF files and files should not be larger than 4 MB. The title of the file should be the last name of the first author. Abstracts that meet standards of acceptability will be included in the symposium booklets and website.</w:t>
      </w:r>
    </w:p>
    <w:p w14:paraId="0AD08F47" w14:textId="77777777" w:rsidR="004262F9" w:rsidRDefault="004262F9">
      <w:pPr>
        <w:ind w:hanging="2"/>
        <w:jc w:val="both"/>
        <w:rPr>
          <w:sz w:val="20"/>
          <w:szCs w:val="20"/>
        </w:rPr>
      </w:pPr>
    </w:p>
    <w:p w14:paraId="7E154DC9" w14:textId="77777777" w:rsidR="004262F9" w:rsidRDefault="00BD078A">
      <w:pPr>
        <w:pStyle w:val="Heading1"/>
        <w:ind w:hanging="2"/>
        <w:jc w:val="left"/>
        <w:rPr>
          <w:sz w:val="20"/>
          <w:szCs w:val="20"/>
        </w:rPr>
      </w:pPr>
      <w:r>
        <w:rPr>
          <w:b/>
          <w:sz w:val="20"/>
          <w:szCs w:val="20"/>
        </w:rPr>
        <w:t>METHODS</w:t>
      </w:r>
    </w:p>
    <w:p w14:paraId="125624AA" w14:textId="77777777" w:rsidR="004262F9" w:rsidRDefault="00BD078A">
      <w:pPr>
        <w:pBdr>
          <w:top w:val="nil"/>
          <w:left w:val="nil"/>
          <w:bottom w:val="nil"/>
          <w:right w:val="nil"/>
          <w:between w:val="nil"/>
        </w:pBdr>
        <w:ind w:hanging="2"/>
        <w:jc w:val="both"/>
        <w:rPr>
          <w:color w:val="000000"/>
          <w:sz w:val="20"/>
          <w:szCs w:val="20"/>
        </w:rPr>
      </w:pPr>
      <w:r>
        <w:rPr>
          <w:color w:val="000000"/>
          <w:sz w:val="20"/>
          <w:szCs w:val="20"/>
        </w:rPr>
        <w:t>The abstract is limited to one letter size page (8.5 x 11 inches), with two columns of text, justified. Left and right margins should be 0.5 inch; top and bottom margins should be 0.75 inch. Type font is Times New Roman 10 pt. It is best if abstr</w:t>
      </w:r>
      <w:r>
        <w:rPr>
          <w:color w:val="000000"/>
          <w:sz w:val="20"/>
          <w:szCs w:val="20"/>
        </w:rPr>
        <w:t>acts are formatted using this document as a template. Please do not change the formatting from that within this template document. The symposium organizers reserve the right to reject abstracts that do not adhere to the formatting guidelines in this docume</w:t>
      </w:r>
      <w:r>
        <w:rPr>
          <w:color w:val="000000"/>
          <w:sz w:val="20"/>
          <w:szCs w:val="20"/>
        </w:rPr>
        <w:t>nt.</w:t>
      </w:r>
    </w:p>
    <w:p w14:paraId="0DC93EFD" w14:textId="77777777" w:rsidR="004262F9" w:rsidRDefault="004262F9">
      <w:pPr>
        <w:pBdr>
          <w:top w:val="nil"/>
          <w:left w:val="nil"/>
          <w:bottom w:val="nil"/>
          <w:right w:val="nil"/>
          <w:between w:val="nil"/>
        </w:pBdr>
        <w:ind w:hanging="2"/>
        <w:jc w:val="both"/>
        <w:rPr>
          <w:color w:val="000000"/>
          <w:sz w:val="20"/>
          <w:szCs w:val="20"/>
        </w:rPr>
      </w:pPr>
    </w:p>
    <w:p w14:paraId="7C823058" w14:textId="77777777" w:rsidR="004262F9" w:rsidRDefault="00BD078A">
      <w:pPr>
        <w:ind w:hanging="2"/>
        <w:jc w:val="both"/>
        <w:rPr>
          <w:sz w:val="20"/>
          <w:szCs w:val="20"/>
        </w:rPr>
      </w:pPr>
      <w:r>
        <w:rPr>
          <w:sz w:val="20"/>
          <w:szCs w:val="20"/>
        </w:rPr>
        <w:t xml:space="preserve">The title (in bold caps), authors, and author affiliations should be centered across the top of the page. Use numerical superscripts to distinguish authors from different institutions. An email address of the corresponding author should be included. A web </w:t>
      </w:r>
      <w:r>
        <w:rPr>
          <w:sz w:val="20"/>
          <w:szCs w:val="20"/>
        </w:rPr>
        <w:t>address of department, laboratory or author may be included if desired.</w:t>
      </w:r>
    </w:p>
    <w:p w14:paraId="2985A844" w14:textId="77777777" w:rsidR="004262F9" w:rsidRDefault="004262F9">
      <w:pPr>
        <w:ind w:hanging="2"/>
        <w:jc w:val="both"/>
        <w:rPr>
          <w:sz w:val="20"/>
          <w:szCs w:val="20"/>
        </w:rPr>
      </w:pPr>
    </w:p>
    <w:p w14:paraId="0794FBC5" w14:textId="77777777" w:rsidR="004262F9" w:rsidRDefault="00BD078A">
      <w:pPr>
        <w:ind w:hanging="2"/>
        <w:jc w:val="both"/>
        <w:rPr>
          <w:sz w:val="20"/>
          <w:szCs w:val="20"/>
        </w:rPr>
      </w:pPr>
      <w:r>
        <w:rPr>
          <w:sz w:val="20"/>
          <w:szCs w:val="20"/>
        </w:rPr>
        <w:t xml:space="preserve">The body of the manuscript should be divided into sections specifically titled as follows: Introduction, Methods, Results and Discussion, and Conclusions (optional). Text within each </w:t>
      </w:r>
      <w:r>
        <w:rPr>
          <w:sz w:val="20"/>
          <w:szCs w:val="20"/>
        </w:rPr>
        <w:t>section should be full justified, without paragraph indentations. Use double line spacing between paragraphs.</w:t>
      </w:r>
    </w:p>
    <w:p w14:paraId="798B577B" w14:textId="77777777" w:rsidR="004262F9" w:rsidRDefault="004262F9">
      <w:pPr>
        <w:ind w:hanging="2"/>
        <w:jc w:val="both"/>
        <w:rPr>
          <w:sz w:val="20"/>
          <w:szCs w:val="20"/>
        </w:rPr>
      </w:pPr>
    </w:p>
    <w:p w14:paraId="71A7FC3F" w14:textId="77777777" w:rsidR="004262F9" w:rsidRDefault="00BD078A">
      <w:pPr>
        <w:pStyle w:val="Heading1"/>
        <w:ind w:hanging="2"/>
        <w:jc w:val="left"/>
        <w:rPr>
          <w:sz w:val="20"/>
          <w:szCs w:val="20"/>
        </w:rPr>
      </w:pPr>
      <w:r>
        <w:rPr>
          <w:b/>
          <w:sz w:val="20"/>
          <w:szCs w:val="20"/>
        </w:rPr>
        <w:t>RESULTS AND DISCUSSION</w:t>
      </w:r>
    </w:p>
    <w:p w14:paraId="5484F2BF" w14:textId="77777777" w:rsidR="004262F9" w:rsidRDefault="00BD078A">
      <w:pPr>
        <w:ind w:hanging="2"/>
        <w:jc w:val="both"/>
        <w:rPr>
          <w:sz w:val="20"/>
          <w:szCs w:val="20"/>
        </w:rPr>
      </w:pPr>
      <w:r>
        <w:rPr>
          <w:sz w:val="20"/>
          <w:szCs w:val="20"/>
        </w:rPr>
        <w:t>Figures and tables may be incorporated within the document and must be referenced in the text (Figure 1). Captions must be</w:t>
      </w:r>
      <w:r>
        <w:rPr>
          <w:sz w:val="20"/>
          <w:szCs w:val="20"/>
        </w:rPr>
        <w:t xml:space="preserve"> legible and placed below each Figure, and above each Table. </w:t>
      </w:r>
      <w:r>
        <w:rPr>
          <w:sz w:val="20"/>
          <w:szCs w:val="20"/>
        </w:rPr>
        <w:t xml:space="preserve">Tables may extend across two columns when needed (Table 1). Use “Format -&gt; Columns” to control which parts of the text are in single column format. </w:t>
      </w:r>
    </w:p>
    <w:p w14:paraId="0B617EF4" w14:textId="77777777" w:rsidR="004262F9" w:rsidRDefault="004262F9">
      <w:pPr>
        <w:ind w:hanging="2"/>
        <w:jc w:val="both"/>
        <w:rPr>
          <w:sz w:val="20"/>
          <w:szCs w:val="20"/>
        </w:rPr>
      </w:pPr>
    </w:p>
    <w:p w14:paraId="365009E4" w14:textId="77777777" w:rsidR="004262F9" w:rsidRDefault="00BD078A">
      <w:pPr>
        <w:ind w:hanging="2"/>
        <w:jc w:val="both"/>
        <w:rPr>
          <w:sz w:val="20"/>
          <w:szCs w:val="20"/>
        </w:rPr>
      </w:pPr>
      <w:r>
        <w:rPr>
          <w:sz w:val="20"/>
          <w:szCs w:val="20"/>
        </w:rPr>
        <w:t>Reference citations within the text are to be</w:t>
      </w:r>
      <w:r>
        <w:rPr>
          <w:sz w:val="20"/>
          <w:szCs w:val="20"/>
        </w:rPr>
        <w:t xml:space="preserve"> made with numbers [1,2]. References are to be formatted as illustrated on this page. Place the journal or book title in Italics, with volume numbers in bold [3].</w:t>
      </w:r>
    </w:p>
    <w:p w14:paraId="379852F6" w14:textId="77777777" w:rsidR="004262F9" w:rsidRDefault="004262F9">
      <w:pPr>
        <w:ind w:hanging="2"/>
        <w:jc w:val="both"/>
        <w:rPr>
          <w:sz w:val="20"/>
          <w:szCs w:val="20"/>
        </w:rPr>
      </w:pPr>
    </w:p>
    <w:p w14:paraId="69B366C1" w14:textId="77777777" w:rsidR="004262F9" w:rsidRDefault="00BD078A">
      <w:pPr>
        <w:ind w:hanging="2"/>
        <w:jc w:val="both"/>
        <w:rPr>
          <w:sz w:val="20"/>
          <w:szCs w:val="20"/>
        </w:rPr>
      </w:pPr>
      <w:r>
        <w:rPr>
          <w:sz w:val="20"/>
          <w:szCs w:val="20"/>
        </w:rPr>
        <w:t xml:space="preserve">Questions about the conference should be addressed to </w:t>
      </w:r>
      <w:hyperlink r:id="rId8">
        <w:r>
          <w:rPr>
            <w:color w:val="0000FF"/>
            <w:sz w:val="20"/>
            <w:szCs w:val="20"/>
            <w:u w:val="single"/>
          </w:rPr>
          <w:t>wrledoux@uw..edu</w:t>
        </w:r>
      </w:hyperlink>
      <w:r>
        <w:rPr>
          <w:sz w:val="20"/>
          <w:szCs w:val="20"/>
        </w:rPr>
        <w:t>.</w:t>
      </w:r>
    </w:p>
    <w:p w14:paraId="2279ED94" w14:textId="77777777" w:rsidR="004262F9" w:rsidRDefault="004262F9">
      <w:pPr>
        <w:ind w:hanging="2"/>
        <w:jc w:val="both"/>
        <w:rPr>
          <w:sz w:val="20"/>
          <w:szCs w:val="20"/>
        </w:rPr>
      </w:pPr>
    </w:p>
    <w:p w14:paraId="3A9C1D15" w14:textId="77777777" w:rsidR="004262F9" w:rsidRDefault="00BD078A">
      <w:pPr>
        <w:pStyle w:val="Heading1"/>
        <w:ind w:hanging="2"/>
        <w:jc w:val="left"/>
        <w:rPr>
          <w:sz w:val="20"/>
          <w:szCs w:val="20"/>
        </w:rPr>
      </w:pPr>
      <w:r>
        <w:rPr>
          <w:b/>
          <w:sz w:val="20"/>
          <w:szCs w:val="20"/>
        </w:rPr>
        <w:t>CONCLUSIONS</w:t>
      </w:r>
    </w:p>
    <w:p w14:paraId="12149210" w14:textId="77777777" w:rsidR="004262F9" w:rsidRDefault="00BD078A">
      <w:pPr>
        <w:ind w:hanging="2"/>
        <w:jc w:val="both"/>
        <w:rPr>
          <w:sz w:val="20"/>
          <w:szCs w:val="20"/>
        </w:rPr>
      </w:pPr>
      <w:r>
        <w:rPr>
          <w:sz w:val="20"/>
          <w:szCs w:val="20"/>
        </w:rPr>
        <w:t>Abstracts for the 2023 NWBS must be submitted electronically by March 20, 2023 following the instructions posted on the website. Authors will be notified of acceptance by April 10. All acc</w:t>
      </w:r>
      <w:r>
        <w:rPr>
          <w:sz w:val="20"/>
          <w:szCs w:val="20"/>
        </w:rPr>
        <w:t>epted papers will be considered for awards.</w:t>
      </w:r>
    </w:p>
    <w:p w14:paraId="3A3424B6" w14:textId="77777777" w:rsidR="004262F9" w:rsidRDefault="004262F9">
      <w:pPr>
        <w:ind w:hanging="2"/>
        <w:jc w:val="both"/>
        <w:rPr>
          <w:sz w:val="20"/>
          <w:szCs w:val="20"/>
        </w:rPr>
      </w:pPr>
    </w:p>
    <w:p w14:paraId="7D713D18" w14:textId="77777777" w:rsidR="004262F9" w:rsidRDefault="00BD078A">
      <w:pPr>
        <w:pStyle w:val="Heading1"/>
        <w:ind w:hanging="2"/>
        <w:jc w:val="left"/>
        <w:rPr>
          <w:sz w:val="20"/>
          <w:szCs w:val="20"/>
        </w:rPr>
      </w:pPr>
      <w:r>
        <w:rPr>
          <w:b/>
          <w:sz w:val="20"/>
          <w:szCs w:val="20"/>
        </w:rPr>
        <w:t>REFERENCES</w:t>
      </w:r>
    </w:p>
    <w:p w14:paraId="7C41BFE5" w14:textId="77777777" w:rsidR="004262F9" w:rsidRDefault="00BD078A">
      <w:pPr>
        <w:numPr>
          <w:ilvl w:val="0"/>
          <w:numId w:val="1"/>
        </w:numPr>
        <w:pBdr>
          <w:top w:val="nil"/>
          <w:left w:val="nil"/>
          <w:bottom w:val="nil"/>
          <w:right w:val="nil"/>
          <w:between w:val="nil"/>
        </w:pBdr>
        <w:ind w:left="180" w:hanging="180"/>
        <w:jc w:val="both"/>
        <w:rPr>
          <w:color w:val="000000"/>
          <w:sz w:val="20"/>
          <w:szCs w:val="20"/>
        </w:rPr>
      </w:pPr>
      <w:r>
        <w:rPr>
          <w:color w:val="000000"/>
          <w:sz w:val="20"/>
          <w:szCs w:val="20"/>
        </w:rPr>
        <w:t xml:space="preserve">Chou L-S, and Lee, H-J. </w:t>
      </w:r>
      <w:r>
        <w:rPr>
          <w:i/>
          <w:color w:val="000000"/>
          <w:sz w:val="20"/>
          <w:szCs w:val="20"/>
        </w:rPr>
        <w:t>Proceedings of ISB XXI</w:t>
      </w:r>
      <w:r>
        <w:rPr>
          <w:color w:val="000000"/>
          <w:sz w:val="20"/>
          <w:szCs w:val="20"/>
        </w:rPr>
        <w:t>, Taipei, Taiwan, Abstract 207, 2007.</w:t>
      </w:r>
    </w:p>
    <w:p w14:paraId="016BAFE7" w14:textId="77777777" w:rsidR="004262F9" w:rsidRDefault="00BD078A">
      <w:pPr>
        <w:numPr>
          <w:ilvl w:val="0"/>
          <w:numId w:val="1"/>
        </w:numPr>
        <w:pBdr>
          <w:top w:val="nil"/>
          <w:left w:val="nil"/>
          <w:bottom w:val="nil"/>
          <w:right w:val="nil"/>
          <w:between w:val="nil"/>
        </w:pBdr>
        <w:ind w:left="180" w:hanging="180"/>
        <w:jc w:val="both"/>
        <w:rPr>
          <w:color w:val="000000"/>
          <w:sz w:val="20"/>
          <w:szCs w:val="20"/>
        </w:rPr>
      </w:pPr>
      <w:r>
        <w:rPr>
          <w:color w:val="000000"/>
          <w:sz w:val="20"/>
          <w:szCs w:val="20"/>
        </w:rPr>
        <w:t xml:space="preserve"> Sabick MB, et al. </w:t>
      </w:r>
      <w:r>
        <w:rPr>
          <w:i/>
          <w:color w:val="000000"/>
          <w:sz w:val="20"/>
          <w:szCs w:val="20"/>
        </w:rPr>
        <w:t>Am J Sports Med</w:t>
      </w:r>
      <w:r>
        <w:rPr>
          <w:color w:val="000000"/>
          <w:sz w:val="20"/>
          <w:szCs w:val="20"/>
        </w:rPr>
        <w:t xml:space="preserve"> </w:t>
      </w:r>
      <w:r>
        <w:rPr>
          <w:b/>
          <w:color w:val="000000"/>
          <w:sz w:val="20"/>
          <w:szCs w:val="20"/>
        </w:rPr>
        <w:t>33</w:t>
      </w:r>
      <w:r>
        <w:rPr>
          <w:color w:val="000000"/>
          <w:sz w:val="20"/>
          <w:szCs w:val="20"/>
        </w:rPr>
        <w:t>, 1716-1722, 2005.</w:t>
      </w:r>
    </w:p>
    <w:p w14:paraId="1B47E033" w14:textId="77777777" w:rsidR="004262F9" w:rsidRDefault="00BD078A">
      <w:pPr>
        <w:numPr>
          <w:ilvl w:val="0"/>
          <w:numId w:val="1"/>
        </w:numPr>
        <w:pBdr>
          <w:top w:val="nil"/>
          <w:left w:val="nil"/>
          <w:bottom w:val="nil"/>
          <w:right w:val="nil"/>
          <w:between w:val="nil"/>
        </w:pBdr>
        <w:ind w:left="180" w:hanging="180"/>
        <w:jc w:val="both"/>
        <w:rPr>
          <w:color w:val="000000"/>
          <w:sz w:val="20"/>
          <w:szCs w:val="20"/>
        </w:rPr>
      </w:pPr>
      <w:r>
        <w:rPr>
          <w:color w:val="000000"/>
          <w:sz w:val="20"/>
          <w:szCs w:val="20"/>
        </w:rPr>
        <w:t xml:space="preserve"> Lin DC, and Vasavada AN. </w:t>
      </w:r>
      <w:r>
        <w:rPr>
          <w:i/>
          <w:color w:val="000000"/>
          <w:sz w:val="20"/>
          <w:szCs w:val="20"/>
        </w:rPr>
        <w:t>NWBS Aficianados</w:t>
      </w:r>
      <w:r>
        <w:rPr>
          <w:color w:val="000000"/>
          <w:sz w:val="20"/>
          <w:szCs w:val="20"/>
        </w:rPr>
        <w:t>, Wazzu Publishing, Pullman, WA, 2009.</w:t>
      </w:r>
    </w:p>
    <w:p w14:paraId="2F70CF9C" w14:textId="77777777" w:rsidR="004262F9" w:rsidRDefault="004262F9">
      <w:pPr>
        <w:ind w:hanging="2"/>
        <w:jc w:val="both"/>
        <w:rPr>
          <w:sz w:val="20"/>
          <w:szCs w:val="20"/>
        </w:rPr>
      </w:pPr>
    </w:p>
    <w:p w14:paraId="15D952CD" w14:textId="77777777" w:rsidR="004262F9" w:rsidRDefault="00BD078A">
      <w:pPr>
        <w:pStyle w:val="Heading1"/>
        <w:ind w:hanging="2"/>
        <w:jc w:val="left"/>
        <w:rPr>
          <w:sz w:val="20"/>
          <w:szCs w:val="20"/>
        </w:rPr>
      </w:pPr>
      <w:r>
        <w:rPr>
          <w:b/>
          <w:sz w:val="20"/>
          <w:szCs w:val="20"/>
        </w:rPr>
        <w:t>ACKNOWLEDGEMENTS</w:t>
      </w:r>
    </w:p>
    <w:p w14:paraId="4D4A4A5E" w14:textId="77777777" w:rsidR="004262F9" w:rsidRDefault="00BD078A">
      <w:pPr>
        <w:ind w:hanging="2"/>
        <w:jc w:val="both"/>
        <w:rPr>
          <w:sz w:val="20"/>
          <w:szCs w:val="20"/>
        </w:rPr>
        <w:sectPr w:rsidR="004262F9">
          <w:type w:val="continuous"/>
          <w:pgSz w:w="12240" w:h="15840"/>
          <w:pgMar w:top="1138" w:right="850" w:bottom="1138" w:left="850" w:header="850" w:footer="994" w:gutter="0"/>
          <w:cols w:num="2" w:space="720" w:equalWidth="0">
            <w:col w:w="5057" w:space="425"/>
            <w:col w:w="5057" w:space="0"/>
          </w:cols>
        </w:sectPr>
      </w:pPr>
      <w:r>
        <w:rPr>
          <w:sz w:val="20"/>
          <w:szCs w:val="20"/>
        </w:rPr>
        <w:t>Acknowledgments are optional.</w:t>
      </w:r>
    </w:p>
    <w:p w14:paraId="3613C9B5" w14:textId="77777777" w:rsidR="004262F9" w:rsidRDefault="004262F9">
      <w:pPr>
        <w:ind w:hanging="2"/>
        <w:rPr>
          <w:sz w:val="20"/>
          <w:szCs w:val="20"/>
        </w:rPr>
      </w:pPr>
    </w:p>
    <w:p w14:paraId="302E06E9" w14:textId="77777777" w:rsidR="004262F9" w:rsidRDefault="00BD078A">
      <w:pPr>
        <w:ind w:hanging="2"/>
        <w:rPr>
          <w:sz w:val="20"/>
          <w:szCs w:val="20"/>
        </w:rPr>
      </w:pPr>
      <w:r>
        <w:rPr>
          <w:b/>
          <w:sz w:val="20"/>
          <w:szCs w:val="20"/>
        </w:rPr>
        <w:t>Table 1:</w:t>
      </w:r>
      <w:r>
        <w:rPr>
          <w:sz w:val="20"/>
          <w:szCs w:val="20"/>
        </w:rPr>
        <w:t xml:space="preserve"> Tables may extend across both columns and, if they do so, should be included at the bottom of the abstract.</w:t>
      </w:r>
    </w:p>
    <w:tbl>
      <w:tblPr>
        <w:tblStyle w:val="a"/>
        <w:tblW w:w="10206" w:type="dxa"/>
        <w:tblInd w:w="-108" w:type="dxa"/>
        <w:tblLayout w:type="fixed"/>
        <w:tblLook w:val="0000" w:firstRow="0" w:lastRow="0" w:firstColumn="0" w:lastColumn="0" w:noHBand="0" w:noVBand="0"/>
      </w:tblPr>
      <w:tblGrid>
        <w:gridCol w:w="1715"/>
        <w:gridCol w:w="1416"/>
        <w:gridCol w:w="1415"/>
        <w:gridCol w:w="1415"/>
        <w:gridCol w:w="1415"/>
        <w:gridCol w:w="1415"/>
        <w:gridCol w:w="1415"/>
      </w:tblGrid>
      <w:tr w:rsidR="004262F9" w14:paraId="1B58BB14" w14:textId="77777777">
        <w:trPr>
          <w:cantSplit/>
        </w:trPr>
        <w:tc>
          <w:tcPr>
            <w:tcW w:w="1715" w:type="dxa"/>
            <w:tcBorders>
              <w:top w:val="single" w:sz="4" w:space="0" w:color="000000"/>
            </w:tcBorders>
          </w:tcPr>
          <w:p w14:paraId="70CBF088" w14:textId="77777777" w:rsidR="004262F9" w:rsidRDefault="00BD078A">
            <w:pPr>
              <w:ind w:hanging="2"/>
              <w:rPr>
                <w:sz w:val="20"/>
                <w:szCs w:val="20"/>
              </w:rPr>
            </w:pPr>
            <w:r>
              <w:rPr>
                <w:b/>
                <w:sz w:val="20"/>
                <w:szCs w:val="20"/>
              </w:rPr>
              <w:t>Joint Angle (deg)</w:t>
            </w:r>
          </w:p>
        </w:tc>
        <w:tc>
          <w:tcPr>
            <w:tcW w:w="8491" w:type="dxa"/>
            <w:gridSpan w:val="6"/>
            <w:tcBorders>
              <w:top w:val="single" w:sz="4" w:space="0" w:color="000000"/>
              <w:bottom w:val="single" w:sz="4" w:space="0" w:color="000000"/>
            </w:tcBorders>
          </w:tcPr>
          <w:p w14:paraId="5AD79414" w14:textId="77777777" w:rsidR="004262F9" w:rsidRDefault="00BD078A">
            <w:pPr>
              <w:ind w:hanging="2"/>
              <w:jc w:val="center"/>
              <w:rPr>
                <w:sz w:val="20"/>
                <w:szCs w:val="20"/>
              </w:rPr>
            </w:pPr>
            <w:r>
              <w:rPr>
                <w:b/>
                <w:sz w:val="20"/>
                <w:szCs w:val="20"/>
              </w:rPr>
              <w:t>Runni</w:t>
            </w:r>
            <w:r>
              <w:rPr>
                <w:b/>
                <w:sz w:val="20"/>
                <w:szCs w:val="20"/>
              </w:rPr>
              <w:t>ng Speed (m.s</w:t>
            </w:r>
            <w:r>
              <w:rPr>
                <w:b/>
                <w:sz w:val="20"/>
                <w:szCs w:val="20"/>
                <w:vertAlign w:val="superscript"/>
              </w:rPr>
              <w:t>-1)</w:t>
            </w:r>
          </w:p>
        </w:tc>
      </w:tr>
      <w:tr w:rsidR="004262F9" w14:paraId="184F65F9" w14:textId="77777777">
        <w:tc>
          <w:tcPr>
            <w:tcW w:w="1715" w:type="dxa"/>
            <w:tcBorders>
              <w:bottom w:val="single" w:sz="4" w:space="0" w:color="000000"/>
            </w:tcBorders>
          </w:tcPr>
          <w:p w14:paraId="360DB2C0" w14:textId="77777777" w:rsidR="004262F9" w:rsidRDefault="004262F9">
            <w:pPr>
              <w:ind w:hanging="2"/>
              <w:rPr>
                <w:sz w:val="20"/>
                <w:szCs w:val="20"/>
              </w:rPr>
            </w:pPr>
          </w:p>
        </w:tc>
        <w:tc>
          <w:tcPr>
            <w:tcW w:w="1416" w:type="dxa"/>
            <w:tcBorders>
              <w:top w:val="single" w:sz="4" w:space="0" w:color="000000"/>
              <w:bottom w:val="single" w:sz="4" w:space="0" w:color="000000"/>
            </w:tcBorders>
          </w:tcPr>
          <w:p w14:paraId="468F4A57" w14:textId="77777777" w:rsidR="004262F9" w:rsidRDefault="00BD078A">
            <w:pPr>
              <w:pStyle w:val="Heading2"/>
              <w:spacing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5" w:type="dxa"/>
            <w:tcBorders>
              <w:top w:val="single" w:sz="4" w:space="0" w:color="000000"/>
              <w:bottom w:val="single" w:sz="4" w:space="0" w:color="000000"/>
            </w:tcBorders>
          </w:tcPr>
          <w:p w14:paraId="0223B63D" w14:textId="77777777" w:rsidR="004262F9" w:rsidRDefault="00BD078A">
            <w:pPr>
              <w:ind w:hanging="2"/>
              <w:jc w:val="center"/>
              <w:rPr>
                <w:sz w:val="20"/>
                <w:szCs w:val="20"/>
              </w:rPr>
            </w:pPr>
            <w:r>
              <w:rPr>
                <w:b/>
                <w:sz w:val="20"/>
                <w:szCs w:val="20"/>
              </w:rPr>
              <w:t>3.5</w:t>
            </w:r>
          </w:p>
        </w:tc>
        <w:tc>
          <w:tcPr>
            <w:tcW w:w="1415" w:type="dxa"/>
            <w:tcBorders>
              <w:top w:val="single" w:sz="4" w:space="0" w:color="000000"/>
              <w:bottom w:val="single" w:sz="4" w:space="0" w:color="000000"/>
            </w:tcBorders>
          </w:tcPr>
          <w:p w14:paraId="2F12F257" w14:textId="77777777" w:rsidR="004262F9" w:rsidRDefault="00BD078A">
            <w:pPr>
              <w:ind w:hanging="2"/>
              <w:jc w:val="center"/>
              <w:rPr>
                <w:sz w:val="20"/>
                <w:szCs w:val="20"/>
              </w:rPr>
            </w:pPr>
            <w:r>
              <w:rPr>
                <w:b/>
                <w:sz w:val="20"/>
                <w:szCs w:val="20"/>
              </w:rPr>
              <w:t>4</w:t>
            </w:r>
          </w:p>
        </w:tc>
        <w:tc>
          <w:tcPr>
            <w:tcW w:w="1415" w:type="dxa"/>
            <w:tcBorders>
              <w:top w:val="single" w:sz="4" w:space="0" w:color="000000"/>
              <w:bottom w:val="single" w:sz="4" w:space="0" w:color="000000"/>
            </w:tcBorders>
          </w:tcPr>
          <w:p w14:paraId="04E7C595" w14:textId="77777777" w:rsidR="004262F9" w:rsidRDefault="00BD078A">
            <w:pPr>
              <w:ind w:hanging="2"/>
              <w:jc w:val="center"/>
              <w:rPr>
                <w:sz w:val="20"/>
                <w:szCs w:val="20"/>
              </w:rPr>
            </w:pPr>
            <w:r>
              <w:rPr>
                <w:b/>
                <w:sz w:val="20"/>
                <w:szCs w:val="20"/>
              </w:rPr>
              <w:t>4.5</w:t>
            </w:r>
          </w:p>
        </w:tc>
        <w:tc>
          <w:tcPr>
            <w:tcW w:w="1415" w:type="dxa"/>
            <w:tcBorders>
              <w:top w:val="single" w:sz="4" w:space="0" w:color="000000"/>
              <w:bottom w:val="single" w:sz="4" w:space="0" w:color="000000"/>
            </w:tcBorders>
          </w:tcPr>
          <w:p w14:paraId="4A93A4AB" w14:textId="77777777" w:rsidR="004262F9" w:rsidRDefault="00BD078A">
            <w:pPr>
              <w:ind w:hanging="2"/>
              <w:jc w:val="center"/>
              <w:rPr>
                <w:sz w:val="20"/>
                <w:szCs w:val="20"/>
              </w:rPr>
            </w:pPr>
            <w:r>
              <w:rPr>
                <w:b/>
                <w:sz w:val="20"/>
                <w:szCs w:val="20"/>
              </w:rPr>
              <w:t>5</w:t>
            </w:r>
          </w:p>
        </w:tc>
        <w:tc>
          <w:tcPr>
            <w:tcW w:w="1415" w:type="dxa"/>
            <w:tcBorders>
              <w:top w:val="single" w:sz="4" w:space="0" w:color="000000"/>
              <w:bottom w:val="single" w:sz="4" w:space="0" w:color="000000"/>
            </w:tcBorders>
          </w:tcPr>
          <w:p w14:paraId="1D210F29" w14:textId="77777777" w:rsidR="004262F9" w:rsidRDefault="00BD078A">
            <w:pPr>
              <w:ind w:hanging="2"/>
              <w:jc w:val="center"/>
              <w:rPr>
                <w:sz w:val="20"/>
                <w:szCs w:val="20"/>
              </w:rPr>
            </w:pPr>
            <w:r>
              <w:rPr>
                <w:b/>
                <w:sz w:val="20"/>
                <w:szCs w:val="20"/>
              </w:rPr>
              <w:t>5.5</w:t>
            </w:r>
          </w:p>
        </w:tc>
      </w:tr>
      <w:tr w:rsidR="004262F9" w14:paraId="23FBD4C5" w14:textId="77777777">
        <w:tc>
          <w:tcPr>
            <w:tcW w:w="1715" w:type="dxa"/>
            <w:tcBorders>
              <w:top w:val="single" w:sz="4" w:space="0" w:color="000000"/>
            </w:tcBorders>
          </w:tcPr>
          <w:p w14:paraId="3907BF46" w14:textId="77777777" w:rsidR="004262F9" w:rsidRDefault="00BD078A">
            <w:pPr>
              <w:ind w:hanging="2"/>
              <w:rPr>
                <w:sz w:val="20"/>
                <w:szCs w:val="20"/>
              </w:rPr>
            </w:pPr>
            <w:r>
              <w:rPr>
                <w:b/>
                <w:sz w:val="20"/>
                <w:szCs w:val="20"/>
              </w:rPr>
              <w:t>Knee Flexion</w:t>
            </w:r>
          </w:p>
        </w:tc>
        <w:tc>
          <w:tcPr>
            <w:tcW w:w="1416" w:type="dxa"/>
            <w:tcBorders>
              <w:top w:val="single" w:sz="4" w:space="0" w:color="000000"/>
            </w:tcBorders>
          </w:tcPr>
          <w:p w14:paraId="7941B4A5" w14:textId="77777777" w:rsidR="004262F9" w:rsidRDefault="00BD078A">
            <w:pPr>
              <w:ind w:hanging="2"/>
              <w:jc w:val="center"/>
              <w:rPr>
                <w:sz w:val="20"/>
                <w:szCs w:val="20"/>
              </w:rPr>
            </w:pPr>
            <w:r>
              <w:rPr>
                <w:sz w:val="20"/>
                <w:szCs w:val="20"/>
              </w:rPr>
              <w:t>23.1 ± 2.3</w:t>
            </w:r>
          </w:p>
        </w:tc>
        <w:tc>
          <w:tcPr>
            <w:tcW w:w="1415" w:type="dxa"/>
            <w:tcBorders>
              <w:top w:val="single" w:sz="4" w:space="0" w:color="000000"/>
            </w:tcBorders>
          </w:tcPr>
          <w:p w14:paraId="68BC246F" w14:textId="77777777" w:rsidR="004262F9" w:rsidRDefault="00BD078A">
            <w:pPr>
              <w:ind w:hanging="2"/>
              <w:jc w:val="center"/>
              <w:rPr>
                <w:sz w:val="20"/>
                <w:szCs w:val="20"/>
              </w:rPr>
            </w:pPr>
            <w:r>
              <w:rPr>
                <w:sz w:val="20"/>
                <w:szCs w:val="20"/>
              </w:rPr>
              <w:t>27.2 ± 2.6</w:t>
            </w:r>
          </w:p>
        </w:tc>
        <w:tc>
          <w:tcPr>
            <w:tcW w:w="1415" w:type="dxa"/>
            <w:tcBorders>
              <w:top w:val="single" w:sz="4" w:space="0" w:color="000000"/>
            </w:tcBorders>
          </w:tcPr>
          <w:p w14:paraId="14CEB854" w14:textId="77777777" w:rsidR="004262F9" w:rsidRDefault="00BD078A">
            <w:pPr>
              <w:ind w:hanging="2"/>
              <w:jc w:val="center"/>
              <w:rPr>
                <w:sz w:val="20"/>
                <w:szCs w:val="20"/>
              </w:rPr>
            </w:pPr>
            <w:r>
              <w:rPr>
                <w:sz w:val="20"/>
                <w:szCs w:val="20"/>
              </w:rPr>
              <w:t>28.5 ± 3.3</w:t>
            </w:r>
          </w:p>
        </w:tc>
        <w:tc>
          <w:tcPr>
            <w:tcW w:w="1415" w:type="dxa"/>
            <w:tcBorders>
              <w:top w:val="single" w:sz="4" w:space="0" w:color="000000"/>
            </w:tcBorders>
          </w:tcPr>
          <w:p w14:paraId="5982279C" w14:textId="77777777" w:rsidR="004262F9" w:rsidRDefault="00BD078A">
            <w:pPr>
              <w:ind w:hanging="2"/>
              <w:jc w:val="center"/>
              <w:rPr>
                <w:sz w:val="20"/>
                <w:szCs w:val="20"/>
              </w:rPr>
            </w:pPr>
            <w:r>
              <w:rPr>
                <w:sz w:val="20"/>
                <w:szCs w:val="20"/>
              </w:rPr>
              <w:t>31.3 ± 4.1</w:t>
            </w:r>
          </w:p>
        </w:tc>
        <w:tc>
          <w:tcPr>
            <w:tcW w:w="1415" w:type="dxa"/>
            <w:tcBorders>
              <w:top w:val="single" w:sz="4" w:space="0" w:color="000000"/>
            </w:tcBorders>
          </w:tcPr>
          <w:p w14:paraId="7136753E" w14:textId="77777777" w:rsidR="004262F9" w:rsidRDefault="00BD078A">
            <w:pPr>
              <w:ind w:hanging="2"/>
              <w:jc w:val="center"/>
              <w:rPr>
                <w:sz w:val="20"/>
                <w:szCs w:val="20"/>
              </w:rPr>
            </w:pPr>
            <w:r>
              <w:rPr>
                <w:sz w:val="20"/>
                <w:szCs w:val="20"/>
              </w:rPr>
              <w:t>35.1 ± 2.8</w:t>
            </w:r>
          </w:p>
        </w:tc>
        <w:tc>
          <w:tcPr>
            <w:tcW w:w="1415" w:type="dxa"/>
            <w:tcBorders>
              <w:top w:val="single" w:sz="4" w:space="0" w:color="000000"/>
            </w:tcBorders>
          </w:tcPr>
          <w:p w14:paraId="513CC91A" w14:textId="77777777" w:rsidR="004262F9" w:rsidRDefault="00BD078A">
            <w:pPr>
              <w:ind w:hanging="2"/>
              <w:jc w:val="center"/>
              <w:rPr>
                <w:sz w:val="20"/>
                <w:szCs w:val="20"/>
              </w:rPr>
            </w:pPr>
            <w:r>
              <w:rPr>
                <w:sz w:val="20"/>
                <w:szCs w:val="20"/>
              </w:rPr>
              <w:t>38.7 ± 7.3</w:t>
            </w:r>
          </w:p>
        </w:tc>
      </w:tr>
      <w:tr w:rsidR="004262F9" w14:paraId="013549DC" w14:textId="77777777">
        <w:tc>
          <w:tcPr>
            <w:tcW w:w="1715" w:type="dxa"/>
            <w:tcBorders>
              <w:bottom w:val="single" w:sz="4" w:space="0" w:color="000000"/>
            </w:tcBorders>
          </w:tcPr>
          <w:p w14:paraId="0F1E59BE" w14:textId="77777777" w:rsidR="004262F9" w:rsidRDefault="00BD078A">
            <w:pPr>
              <w:ind w:hanging="2"/>
              <w:rPr>
                <w:sz w:val="20"/>
                <w:szCs w:val="20"/>
              </w:rPr>
            </w:pPr>
            <w:r>
              <w:rPr>
                <w:b/>
                <w:sz w:val="20"/>
                <w:szCs w:val="20"/>
              </w:rPr>
              <w:t>Hip Flexion</w:t>
            </w:r>
          </w:p>
        </w:tc>
        <w:tc>
          <w:tcPr>
            <w:tcW w:w="1416" w:type="dxa"/>
            <w:tcBorders>
              <w:bottom w:val="single" w:sz="4" w:space="0" w:color="000000"/>
            </w:tcBorders>
          </w:tcPr>
          <w:p w14:paraId="1A658F24" w14:textId="77777777" w:rsidR="004262F9" w:rsidRDefault="00BD078A">
            <w:pPr>
              <w:ind w:hanging="2"/>
              <w:jc w:val="center"/>
              <w:rPr>
                <w:sz w:val="20"/>
                <w:szCs w:val="20"/>
              </w:rPr>
            </w:pPr>
            <w:r>
              <w:rPr>
                <w:sz w:val="20"/>
                <w:szCs w:val="20"/>
              </w:rPr>
              <w:t>30.1 ± 2.7</w:t>
            </w:r>
          </w:p>
        </w:tc>
        <w:tc>
          <w:tcPr>
            <w:tcW w:w="1415" w:type="dxa"/>
            <w:tcBorders>
              <w:bottom w:val="single" w:sz="4" w:space="0" w:color="000000"/>
            </w:tcBorders>
          </w:tcPr>
          <w:p w14:paraId="453105A2" w14:textId="77777777" w:rsidR="004262F9" w:rsidRDefault="00BD078A">
            <w:pPr>
              <w:ind w:hanging="2"/>
              <w:jc w:val="center"/>
              <w:rPr>
                <w:sz w:val="20"/>
                <w:szCs w:val="20"/>
              </w:rPr>
            </w:pPr>
            <w:r>
              <w:rPr>
                <w:sz w:val="20"/>
                <w:szCs w:val="20"/>
              </w:rPr>
              <w:t>33.2 ± 3.3</w:t>
            </w:r>
          </w:p>
        </w:tc>
        <w:tc>
          <w:tcPr>
            <w:tcW w:w="1415" w:type="dxa"/>
            <w:tcBorders>
              <w:bottom w:val="single" w:sz="4" w:space="0" w:color="000000"/>
            </w:tcBorders>
          </w:tcPr>
          <w:p w14:paraId="04B2027A" w14:textId="77777777" w:rsidR="004262F9" w:rsidRDefault="00BD078A">
            <w:pPr>
              <w:ind w:hanging="2"/>
              <w:jc w:val="center"/>
              <w:rPr>
                <w:sz w:val="20"/>
                <w:szCs w:val="20"/>
              </w:rPr>
            </w:pPr>
            <w:r>
              <w:rPr>
                <w:sz w:val="20"/>
                <w:szCs w:val="20"/>
              </w:rPr>
              <w:t>33.5 ± 1.9</w:t>
            </w:r>
          </w:p>
        </w:tc>
        <w:tc>
          <w:tcPr>
            <w:tcW w:w="1415" w:type="dxa"/>
            <w:tcBorders>
              <w:bottom w:val="single" w:sz="4" w:space="0" w:color="000000"/>
            </w:tcBorders>
          </w:tcPr>
          <w:p w14:paraId="3C15C801" w14:textId="77777777" w:rsidR="004262F9" w:rsidRDefault="00BD078A">
            <w:pPr>
              <w:ind w:hanging="2"/>
              <w:jc w:val="center"/>
              <w:rPr>
                <w:sz w:val="20"/>
                <w:szCs w:val="20"/>
              </w:rPr>
            </w:pPr>
            <w:r>
              <w:rPr>
                <w:sz w:val="20"/>
                <w:szCs w:val="20"/>
              </w:rPr>
              <w:t>35.9 ± 3.6</w:t>
            </w:r>
          </w:p>
        </w:tc>
        <w:tc>
          <w:tcPr>
            <w:tcW w:w="1415" w:type="dxa"/>
            <w:tcBorders>
              <w:bottom w:val="single" w:sz="4" w:space="0" w:color="000000"/>
            </w:tcBorders>
          </w:tcPr>
          <w:p w14:paraId="2AA6A55B" w14:textId="77777777" w:rsidR="004262F9" w:rsidRDefault="00BD078A">
            <w:pPr>
              <w:ind w:hanging="2"/>
              <w:jc w:val="center"/>
              <w:rPr>
                <w:sz w:val="20"/>
                <w:szCs w:val="20"/>
              </w:rPr>
            </w:pPr>
            <w:r>
              <w:rPr>
                <w:sz w:val="20"/>
                <w:szCs w:val="20"/>
              </w:rPr>
              <w:t>36.1 ± 4.5</w:t>
            </w:r>
          </w:p>
        </w:tc>
        <w:tc>
          <w:tcPr>
            <w:tcW w:w="1415" w:type="dxa"/>
            <w:tcBorders>
              <w:bottom w:val="single" w:sz="4" w:space="0" w:color="000000"/>
            </w:tcBorders>
          </w:tcPr>
          <w:p w14:paraId="5622697A" w14:textId="77777777" w:rsidR="004262F9" w:rsidRDefault="00BD078A">
            <w:pPr>
              <w:ind w:hanging="2"/>
              <w:jc w:val="center"/>
              <w:rPr>
                <w:sz w:val="20"/>
                <w:szCs w:val="20"/>
              </w:rPr>
            </w:pPr>
            <w:r>
              <w:rPr>
                <w:sz w:val="20"/>
                <w:szCs w:val="20"/>
              </w:rPr>
              <w:t>39.2 ± 2.3</w:t>
            </w:r>
          </w:p>
        </w:tc>
      </w:tr>
    </w:tbl>
    <w:p w14:paraId="745F3CE8" w14:textId="77777777" w:rsidR="004262F9" w:rsidRDefault="004262F9">
      <w:pPr>
        <w:ind w:hanging="2"/>
      </w:pPr>
    </w:p>
    <w:sectPr w:rsidR="004262F9">
      <w:type w:val="continuous"/>
      <w:pgSz w:w="12240" w:h="15840"/>
      <w:pgMar w:top="1080" w:right="720" w:bottom="1080" w:left="720" w:header="850" w:footer="9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DA9"/>
    <w:multiLevelType w:val="multilevel"/>
    <w:tmpl w:val="C410429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0863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F9"/>
    <w:rsid w:val="004262F9"/>
    <w:rsid w:val="00BD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84C1"/>
  <w15:docId w15:val="{82F3F5D3-4E04-4DE1-93DC-36CCC954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6"/>
        <w:szCs w:val="16"/>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2"/>
      <w:szCs w:val="22"/>
    </w:rPr>
  </w:style>
  <w:style w:type="paragraph" w:styleId="Heading2">
    <w:name w:val="heading 2"/>
    <w:basedOn w:val="Normal"/>
    <w:next w:val="Normal"/>
    <w:uiPriority w:val="9"/>
    <w:unhideWhenUsed/>
    <w:qFormat/>
    <w:pPr>
      <w:keepNext/>
      <w:spacing w:line="720" w:lineRule="auto"/>
      <w:outlineLvl w:val="1"/>
    </w:pPr>
    <w:rPr>
      <w:rFonts w:ascii="Arial" w:eastAsia="Arial" w:hAnsi="Arial" w:cs="Arial"/>
      <w:b/>
      <w:sz w:val="48"/>
      <w:szCs w:val="4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rledoux@uw.edu" TargetMode="External"/><Relationship Id="rId3" Type="http://schemas.openxmlformats.org/officeDocument/2006/relationships/settings" Target="settings.xml"/><Relationship Id="rId7" Type="http://schemas.openxmlformats.org/officeDocument/2006/relationships/hyperlink" Target="https://depts.washington.edu/nwbs/2023/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pts.washington.edu/nwbs/2023/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Muir</dc:creator>
  <cp:lastModifiedBy>Brittney Muir</cp:lastModifiedBy>
  <cp:revision>2</cp:revision>
  <dcterms:created xsi:type="dcterms:W3CDTF">2023-01-31T16:38:00Z</dcterms:created>
  <dcterms:modified xsi:type="dcterms:W3CDTF">2023-01-31T16:38:00Z</dcterms:modified>
</cp:coreProperties>
</file>