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center"/>
        <w:rPr>
          <w:rFonts w:ascii="Times New Roman" w:cs="Times New Roman" w:eastAsia="Times New Roman" w:hAnsi="Times New Roman"/>
          <w:color w:val="000000"/>
        </w:rPr>
      </w:pPr>
      <w:r w:rsidDel="00000000" w:rsidR="00000000" w:rsidRPr="00000000">
        <w:rPr>
          <w:rFonts w:ascii="Cambria" w:cs="Cambria" w:eastAsia="Cambria" w:hAnsi="Cambria"/>
          <w:b w:val="1"/>
          <w:color w:val="366091"/>
          <w:sz w:val="28"/>
          <w:szCs w:val="28"/>
          <w:rtl w:val="0"/>
        </w:rPr>
        <w:t xml:space="preserve">Model Syllabus for TCSS 431</w:t>
        <w:br w:type="textWrapping"/>
        <w:t xml:space="preserve">(Approved: May 2022)</w:t>
      </w:r>
      <w:r w:rsidDel="00000000" w:rsidR="00000000" w:rsidRPr="00000000">
        <w:rPr>
          <w:rtl w:val="0"/>
        </w:rPr>
      </w:r>
    </w:p>
    <w:p w:rsidR="00000000" w:rsidDel="00000000" w:rsidP="00000000" w:rsidRDefault="00000000" w:rsidRPr="00000000" w14:paraId="00000002">
      <w:pPr>
        <w:ind w:left="-360" w:right="-540" w:firstLine="360"/>
        <w:rPr>
          <w:sz w:val="22"/>
          <w:szCs w:val="22"/>
        </w:rPr>
      </w:pPr>
      <w:r w:rsidDel="00000000" w:rsidR="00000000" w:rsidRPr="00000000">
        <w:rPr>
          <w:b w:val="1"/>
          <w:sz w:val="22"/>
          <w:szCs w:val="22"/>
          <w:rtl w:val="0"/>
        </w:rPr>
        <w:t xml:space="preserve">Course title: </w:t>
      </w:r>
      <w:r w:rsidDel="00000000" w:rsidR="00000000" w:rsidRPr="00000000">
        <w:rPr>
          <w:sz w:val="22"/>
          <w:szCs w:val="22"/>
          <w:rtl w:val="0"/>
        </w:rPr>
        <w:t xml:space="preserve">Network Security</w:t>
      </w:r>
    </w:p>
    <w:p w:rsidR="00000000" w:rsidDel="00000000" w:rsidP="00000000" w:rsidRDefault="00000000" w:rsidRPr="00000000" w14:paraId="00000003">
      <w:pPr>
        <w:ind w:left="-360" w:right="-540" w:firstLine="360"/>
        <w:rPr>
          <w:b w:val="1"/>
          <w:sz w:val="22"/>
          <w:szCs w:val="22"/>
        </w:rPr>
      </w:pPr>
      <w:r w:rsidDel="00000000" w:rsidR="00000000" w:rsidRPr="00000000">
        <w:rPr>
          <w:rtl w:val="0"/>
        </w:rPr>
      </w:r>
    </w:p>
    <w:p w:rsidR="00000000" w:rsidDel="00000000" w:rsidP="00000000" w:rsidRDefault="00000000" w:rsidRPr="00000000" w14:paraId="00000004">
      <w:pPr>
        <w:ind w:left="-360" w:right="-540" w:firstLine="360"/>
        <w:rPr>
          <w:rFonts w:ascii="Calibri" w:cs="Calibri" w:eastAsia="Calibri" w:hAnsi="Calibri"/>
          <w:color w:val="000000"/>
          <w:sz w:val="22"/>
          <w:szCs w:val="22"/>
        </w:rPr>
      </w:pPr>
      <w:r w:rsidDel="00000000" w:rsidR="00000000" w:rsidRPr="00000000">
        <w:rPr>
          <w:b w:val="1"/>
          <w:sz w:val="22"/>
          <w:szCs w:val="22"/>
          <w:rtl w:val="0"/>
        </w:rPr>
        <w:t xml:space="preserve">C</w:t>
      </w:r>
      <w:r w:rsidDel="00000000" w:rsidR="00000000" w:rsidRPr="00000000">
        <w:rPr>
          <w:rFonts w:ascii="Calibri" w:cs="Calibri" w:eastAsia="Calibri" w:hAnsi="Calibri"/>
          <w:b w:val="1"/>
          <w:color w:val="000000"/>
          <w:sz w:val="22"/>
          <w:szCs w:val="22"/>
          <w:rtl w:val="0"/>
        </w:rPr>
        <w:t xml:space="preserve">atalog description</w:t>
      </w:r>
      <w:r w:rsidDel="00000000" w:rsidR="00000000" w:rsidRPr="00000000">
        <w:rPr>
          <w:rtl w:val="0"/>
        </w:rPr>
      </w:r>
    </w:p>
    <w:p w:rsidR="00000000" w:rsidDel="00000000" w:rsidP="00000000" w:rsidRDefault="00000000" w:rsidRPr="00000000" w14:paraId="00000005">
      <w:pPr>
        <w:spacing w:after="200" w:lineRule="auto"/>
        <w:rPr>
          <w:sz w:val="22"/>
          <w:szCs w:val="22"/>
          <w:highlight w:val="white"/>
        </w:rPr>
      </w:pPr>
      <w:r w:rsidDel="00000000" w:rsidR="00000000" w:rsidRPr="00000000">
        <w:rPr>
          <w:sz w:val="22"/>
          <w:szCs w:val="22"/>
          <w:highlight w:val="white"/>
          <w:rtl w:val="0"/>
        </w:rPr>
        <w:t xml:space="preserve">Covers cryptographic methods including public and private key algorithms. Examines protocols that utilize such methods, such as secure email, digital signatures, authorization, e-voting, and electronic cash. Includes lab component for demonstration of security techniques such as firewalls, intrusion detection systems, and virtual private networks. Prerequisite: a minimum grade of 2.0 in TCSS 321 and TCSS 325</w:t>
      </w:r>
    </w:p>
    <w:p w:rsidR="00000000" w:rsidDel="00000000" w:rsidP="00000000" w:rsidRDefault="00000000" w:rsidRPr="00000000" w14:paraId="00000006">
      <w:pPr>
        <w:spacing w:after="200" w:lineRule="auto"/>
        <w:rPr>
          <w:rFonts w:ascii="Times New Roman" w:cs="Times New Roman" w:eastAsia="Times New Roman" w:hAnsi="Times New Roman"/>
          <w:color w:val="000000"/>
        </w:rPr>
      </w:pPr>
      <w:r w:rsidDel="00000000" w:rsidR="00000000" w:rsidRPr="00000000">
        <w:rPr>
          <w:rFonts w:ascii="Calibri" w:cs="Calibri" w:eastAsia="Calibri" w:hAnsi="Calibri"/>
          <w:b w:val="1"/>
          <w:color w:val="000000"/>
          <w:sz w:val="22"/>
          <w:szCs w:val="22"/>
          <w:rtl w:val="0"/>
        </w:rPr>
        <w:t xml:space="preserve">Preconditions</w:t>
      </w:r>
      <w:r w:rsidDel="00000000" w:rsidR="00000000" w:rsidRPr="00000000">
        <w:rPr>
          <w:rtl w:val="0"/>
        </w:rPr>
      </w:r>
    </w:p>
    <w:p w:rsidR="00000000" w:rsidDel="00000000" w:rsidP="00000000" w:rsidRDefault="00000000" w:rsidRPr="00000000" w14:paraId="00000007">
      <w:pPr>
        <w:numPr>
          <w:ilvl w:val="0"/>
          <w:numId w:val="2"/>
        </w:numPr>
        <w:ind w:left="720" w:hanging="360"/>
        <w:rPr>
          <w:rFonts w:ascii="Arial" w:cs="Arial" w:eastAsia="Arial" w:hAnsi="Arial"/>
          <w:color w:val="000000"/>
          <w:sz w:val="22"/>
          <w:szCs w:val="22"/>
        </w:rPr>
      </w:pPr>
      <w:r w:rsidDel="00000000" w:rsidR="00000000" w:rsidRPr="00000000">
        <w:rPr>
          <w:rFonts w:ascii="Calibri" w:cs="Calibri" w:eastAsia="Calibri" w:hAnsi="Calibri"/>
          <w:color w:val="000000"/>
          <w:sz w:val="22"/>
          <w:szCs w:val="22"/>
          <w:rtl w:val="0"/>
        </w:rPr>
        <w:t xml:space="preserve">Manipulate (procedural knowledge) and apply mathematical formalisms to solve problems.</w:t>
      </w:r>
      <w:r w:rsidDel="00000000" w:rsidR="00000000" w:rsidRPr="00000000">
        <w:rPr>
          <w:rtl w:val="0"/>
        </w:rPr>
      </w:r>
    </w:p>
    <w:p w:rsidR="00000000" w:rsidDel="00000000" w:rsidP="00000000" w:rsidRDefault="00000000" w:rsidRPr="00000000" w14:paraId="00000008">
      <w:pPr>
        <w:numPr>
          <w:ilvl w:val="0"/>
          <w:numId w:val="2"/>
        </w:numPr>
        <w:ind w:left="720" w:hanging="360"/>
        <w:rPr>
          <w:rFonts w:ascii="Arial" w:cs="Arial" w:eastAsia="Arial" w:hAnsi="Arial"/>
          <w:color w:val="000000"/>
          <w:sz w:val="22"/>
          <w:szCs w:val="22"/>
        </w:rPr>
      </w:pPr>
      <w:r w:rsidDel="00000000" w:rsidR="00000000" w:rsidRPr="00000000">
        <w:rPr>
          <w:rFonts w:ascii="Calibri" w:cs="Calibri" w:eastAsia="Calibri" w:hAnsi="Calibri"/>
          <w:color w:val="000000"/>
          <w:sz w:val="22"/>
          <w:szCs w:val="22"/>
          <w:rtl w:val="0"/>
        </w:rPr>
        <w:t xml:space="preserve">Identify principles of Western ethics that are embedded in or related to particular technological designs or technology policies.</w:t>
      </w:r>
      <w:r w:rsidDel="00000000" w:rsidR="00000000" w:rsidRPr="00000000">
        <w:rPr>
          <w:rtl w:val="0"/>
        </w:rPr>
      </w:r>
    </w:p>
    <w:p w:rsidR="00000000" w:rsidDel="00000000" w:rsidP="00000000" w:rsidRDefault="00000000" w:rsidRPr="00000000" w14:paraId="00000009">
      <w:pPr>
        <w:numPr>
          <w:ilvl w:val="0"/>
          <w:numId w:val="2"/>
        </w:numP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Describe some of the social, political, and economic consequences of technology use within particular contexts or cultures. </w:t>
      </w:r>
    </w:p>
    <w:p w:rsidR="00000000" w:rsidDel="00000000" w:rsidP="00000000" w:rsidRDefault="00000000" w:rsidRPr="00000000" w14:paraId="0000000A">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B">
      <w:pPr>
        <w:spacing w:after="200" w:lineRule="auto"/>
        <w:rPr>
          <w:rFonts w:ascii="Times New Roman" w:cs="Times New Roman" w:eastAsia="Times New Roman" w:hAnsi="Times New Roman"/>
          <w:color w:val="000000"/>
        </w:rPr>
      </w:pPr>
      <w:r w:rsidDel="00000000" w:rsidR="00000000" w:rsidRPr="00000000">
        <w:rPr>
          <w:rFonts w:ascii="Calibri" w:cs="Calibri" w:eastAsia="Calibri" w:hAnsi="Calibri"/>
          <w:b w:val="1"/>
          <w:color w:val="000000"/>
          <w:sz w:val="22"/>
          <w:szCs w:val="22"/>
          <w:rtl w:val="0"/>
        </w:rPr>
        <w:t xml:space="preserve">Course Student Learning Goals</w:t>
      </w:r>
      <w:r w:rsidDel="00000000" w:rsidR="00000000" w:rsidRPr="00000000">
        <w:rPr>
          <w:rFonts w:ascii="Calibri" w:cs="Calibri" w:eastAsia="Calibri" w:hAnsi="Calibri"/>
          <w:color w:val="000000"/>
          <w:sz w:val="22"/>
          <w:szCs w:val="22"/>
          <w:rtl w:val="0"/>
        </w:rPr>
        <w:t xml:space="preserve"> (to be added to syllabus handed out to students)</w:t>
      </w:r>
      <w:r w:rsidDel="00000000" w:rsidR="00000000" w:rsidRPr="00000000">
        <w:rPr>
          <w:rtl w:val="0"/>
        </w:rPr>
      </w:r>
    </w:p>
    <w:p w:rsidR="00000000" w:rsidDel="00000000" w:rsidP="00000000" w:rsidRDefault="00000000" w:rsidRPr="00000000" w14:paraId="0000000C">
      <w:pPr>
        <w:numPr>
          <w:ilvl w:val="0"/>
          <w:numId w:val="3"/>
        </w:numPr>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Describe network security issues, challenges and mechanisms.</w:t>
      </w:r>
    </w:p>
    <w:p w:rsidR="00000000" w:rsidDel="00000000" w:rsidP="00000000" w:rsidRDefault="00000000" w:rsidRPr="00000000" w14:paraId="0000000D">
      <w:pPr>
        <w:numPr>
          <w:ilvl w:val="0"/>
          <w:numId w:val="3"/>
        </w:numPr>
        <w:ind w:left="720" w:hanging="360"/>
        <w:rPr>
          <w:rFonts w:ascii="Arial" w:cs="Arial" w:eastAsia="Arial" w:hAnsi="Arial"/>
          <w:color w:val="000000"/>
          <w:sz w:val="22"/>
          <w:szCs w:val="22"/>
        </w:rPr>
      </w:pPr>
      <w:r w:rsidDel="00000000" w:rsidR="00000000" w:rsidRPr="00000000">
        <w:rPr>
          <w:rFonts w:ascii="Calibri" w:cs="Calibri" w:eastAsia="Calibri" w:hAnsi="Calibri"/>
          <w:color w:val="000000"/>
          <w:sz w:val="22"/>
          <w:szCs w:val="22"/>
          <w:rtl w:val="0"/>
        </w:rPr>
        <w:t xml:space="preserve">Assess a network for vulnerabilities and threats.</w:t>
      </w:r>
      <w:r w:rsidDel="00000000" w:rsidR="00000000" w:rsidRPr="00000000">
        <w:rPr>
          <w:rtl w:val="0"/>
        </w:rPr>
      </w:r>
    </w:p>
    <w:p w:rsidR="00000000" w:rsidDel="00000000" w:rsidP="00000000" w:rsidRDefault="00000000" w:rsidRPr="00000000" w14:paraId="0000000E">
      <w:pPr>
        <w:numPr>
          <w:ilvl w:val="0"/>
          <w:numId w:val="3"/>
        </w:numP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Evaluate the major types of cryptographic algorithms empirically through implementation and measurement.</w:t>
      </w:r>
    </w:p>
    <w:p w:rsidR="00000000" w:rsidDel="00000000" w:rsidP="00000000" w:rsidRDefault="00000000" w:rsidRPr="00000000" w14:paraId="0000000F">
      <w:pPr>
        <w:numPr>
          <w:ilvl w:val="0"/>
          <w:numId w:val="3"/>
        </w:numPr>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Identify and demonstrate the use of security tools and techniques to secure a network.</w:t>
      </w:r>
    </w:p>
    <w:p w:rsidR="00000000" w:rsidDel="00000000" w:rsidP="00000000" w:rsidRDefault="00000000" w:rsidRPr="00000000" w14:paraId="00000010">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1">
      <w:pPr>
        <w:spacing w:after="200" w:lineRule="auto"/>
        <w:rPr>
          <w:rFonts w:ascii="Times New Roman" w:cs="Times New Roman" w:eastAsia="Times New Roman" w:hAnsi="Times New Roman"/>
          <w:color w:val="000000"/>
        </w:rPr>
      </w:pPr>
      <w:r w:rsidDel="00000000" w:rsidR="00000000" w:rsidRPr="00000000">
        <w:rPr>
          <w:rFonts w:ascii="Calibri" w:cs="Calibri" w:eastAsia="Calibri" w:hAnsi="Calibri"/>
          <w:b w:val="1"/>
          <w:color w:val="000000"/>
          <w:sz w:val="22"/>
          <w:szCs w:val="22"/>
          <w:rtl w:val="0"/>
        </w:rPr>
        <w:t xml:space="preserve">CSS Degree Student Learning Outcomes that this course contributes to</w:t>
      </w:r>
      <w:r w:rsidDel="00000000" w:rsidR="00000000" w:rsidRPr="00000000">
        <w:rPr>
          <w:rFonts w:ascii="Calibri" w:cs="Calibri" w:eastAsia="Calibri" w:hAnsi="Calibri"/>
          <w:color w:val="000000"/>
          <w:sz w:val="22"/>
          <w:szCs w:val="22"/>
          <w:rtl w:val="0"/>
        </w:rPr>
        <w:t xml:space="preserve"> (to be added to syllabus handed out to students). Note that the use of the term </w:t>
      </w:r>
      <w:r w:rsidDel="00000000" w:rsidR="00000000" w:rsidRPr="00000000">
        <w:rPr>
          <w:rFonts w:ascii="Calibri" w:cs="Calibri" w:eastAsia="Calibri" w:hAnsi="Calibri"/>
          <w:i w:val="1"/>
          <w:color w:val="000000"/>
          <w:sz w:val="22"/>
          <w:szCs w:val="22"/>
          <w:rtl w:val="0"/>
        </w:rPr>
        <w:t xml:space="preserve">outcome </w:t>
      </w:r>
      <w:r w:rsidDel="00000000" w:rsidR="00000000" w:rsidRPr="00000000">
        <w:rPr>
          <w:rFonts w:ascii="Calibri" w:cs="Calibri" w:eastAsia="Calibri" w:hAnsi="Calibri"/>
          <w:color w:val="000000"/>
          <w:sz w:val="22"/>
          <w:szCs w:val="22"/>
          <w:rtl w:val="0"/>
        </w:rPr>
        <w:t xml:space="preserve">here instead of </w:t>
      </w:r>
      <w:r w:rsidDel="00000000" w:rsidR="00000000" w:rsidRPr="00000000">
        <w:rPr>
          <w:rFonts w:ascii="Calibri" w:cs="Calibri" w:eastAsia="Calibri" w:hAnsi="Calibri"/>
          <w:i w:val="1"/>
          <w:color w:val="000000"/>
          <w:sz w:val="22"/>
          <w:szCs w:val="22"/>
          <w:rtl w:val="0"/>
        </w:rPr>
        <w:t xml:space="preserve">goal</w:t>
      </w:r>
      <w:r w:rsidDel="00000000" w:rsidR="00000000" w:rsidRPr="00000000">
        <w:rPr>
          <w:rFonts w:ascii="Calibri" w:cs="Calibri" w:eastAsia="Calibri" w:hAnsi="Calibri"/>
          <w:color w:val="000000"/>
          <w:sz w:val="22"/>
          <w:szCs w:val="22"/>
          <w:rtl w:val="0"/>
        </w:rPr>
        <w:t xml:space="preserve"> is simply for purposes of integration with ABET and has no other semantic import.</w:t>
      </w:r>
      <w:r w:rsidDel="00000000" w:rsidR="00000000" w:rsidRPr="00000000">
        <w:rPr>
          <w:rtl w:val="0"/>
        </w:rPr>
      </w:r>
    </w:p>
    <w:p w:rsidR="00000000" w:rsidDel="00000000" w:rsidP="00000000" w:rsidRDefault="00000000" w:rsidRPr="00000000" w14:paraId="00000012">
      <w:pPr>
        <w:numPr>
          <w:ilvl w:val="0"/>
          <w:numId w:val="1"/>
        </w:numPr>
        <w:ind w:left="720" w:hanging="360"/>
        <w:rPr>
          <w:rFonts w:ascii="Calibri" w:cs="Calibri" w:eastAsia="Calibri" w:hAnsi="Calibri"/>
          <w:color w:val="000000"/>
        </w:rPr>
      </w:pPr>
      <w:r w:rsidDel="00000000" w:rsidR="00000000" w:rsidRPr="00000000">
        <w:rPr>
          <w:rFonts w:ascii="Calibri" w:cs="Calibri" w:eastAsia="Calibri" w:hAnsi="Calibri"/>
          <w:b w:val="1"/>
          <w:color w:val="000000"/>
          <w:sz w:val="22"/>
          <w:szCs w:val="22"/>
          <w:rtl w:val="0"/>
        </w:rPr>
        <w:t xml:space="preserve">Outcome A</w:t>
      </w:r>
      <w:r w:rsidDel="00000000" w:rsidR="00000000" w:rsidRPr="00000000">
        <w:rPr>
          <w:rFonts w:ascii="Calibri" w:cs="Calibri" w:eastAsia="Calibri" w:hAnsi="Calibri"/>
          <w:color w:val="000000"/>
          <w:sz w:val="22"/>
          <w:szCs w:val="22"/>
          <w:rtl w:val="0"/>
        </w:rPr>
        <w:t xml:space="preserve">:   Analyze a complex computing problem and to apply principles of computing and other relevant disciplines to identify solutions.</w:t>
      </w:r>
      <w:r w:rsidDel="00000000" w:rsidR="00000000" w:rsidRPr="00000000">
        <w:rPr>
          <w:rtl w:val="0"/>
        </w:rPr>
      </w:r>
    </w:p>
    <w:p w:rsidR="00000000" w:rsidDel="00000000" w:rsidP="00000000" w:rsidRDefault="00000000" w:rsidRPr="00000000" w14:paraId="00000013">
      <w:pPr>
        <w:numPr>
          <w:ilvl w:val="0"/>
          <w:numId w:val="1"/>
        </w:numPr>
        <w:ind w:left="720" w:hanging="360"/>
        <w:rPr>
          <w:rFonts w:ascii="Calibri" w:cs="Calibri" w:eastAsia="Calibri" w:hAnsi="Calibri"/>
          <w:color w:val="000000"/>
        </w:rPr>
      </w:pPr>
      <w:r w:rsidDel="00000000" w:rsidR="00000000" w:rsidRPr="00000000">
        <w:rPr>
          <w:rFonts w:ascii="Calibri" w:cs="Calibri" w:eastAsia="Calibri" w:hAnsi="Calibri"/>
          <w:b w:val="1"/>
          <w:color w:val="000000"/>
          <w:sz w:val="22"/>
          <w:szCs w:val="22"/>
          <w:rtl w:val="0"/>
        </w:rPr>
        <w:t xml:space="preserve">Outcome B</w:t>
      </w:r>
      <w:r w:rsidDel="00000000" w:rsidR="00000000" w:rsidRPr="00000000">
        <w:rPr>
          <w:rFonts w:ascii="Calibri" w:cs="Calibri" w:eastAsia="Calibri" w:hAnsi="Calibri"/>
          <w:color w:val="000000"/>
          <w:sz w:val="22"/>
          <w:szCs w:val="22"/>
          <w:rtl w:val="0"/>
        </w:rPr>
        <w:t xml:space="preserve">:   Design, implement, and evaluate a computing-based solution to meet a given set of computing requirements in the context of the program’s discipline.</w:t>
      </w:r>
      <w:r w:rsidDel="00000000" w:rsidR="00000000" w:rsidRPr="00000000">
        <w:rPr>
          <w:rtl w:val="0"/>
        </w:rPr>
      </w:r>
    </w:p>
    <w:p w:rsidR="00000000" w:rsidDel="00000000" w:rsidP="00000000" w:rsidRDefault="00000000" w:rsidRPr="00000000" w14:paraId="00000014">
      <w:pPr>
        <w:numPr>
          <w:ilvl w:val="0"/>
          <w:numId w:val="1"/>
        </w:numPr>
        <w:ind w:left="720" w:hanging="360"/>
        <w:rPr>
          <w:rFonts w:ascii="Calibri" w:cs="Calibri" w:eastAsia="Calibri" w:hAnsi="Calibri"/>
          <w:color w:val="000000"/>
        </w:rPr>
      </w:pPr>
      <w:r w:rsidDel="00000000" w:rsidR="00000000" w:rsidRPr="00000000">
        <w:rPr>
          <w:rFonts w:ascii="Calibri" w:cs="Calibri" w:eastAsia="Calibri" w:hAnsi="Calibri"/>
          <w:b w:val="1"/>
          <w:color w:val="000000"/>
          <w:sz w:val="22"/>
          <w:szCs w:val="22"/>
          <w:rtl w:val="0"/>
        </w:rPr>
        <w:t xml:space="preserve">Outcome C</w:t>
      </w:r>
      <w:r w:rsidDel="00000000" w:rsidR="00000000" w:rsidRPr="00000000">
        <w:rPr>
          <w:rFonts w:ascii="Calibri" w:cs="Calibri" w:eastAsia="Calibri" w:hAnsi="Calibri"/>
          <w:color w:val="000000"/>
          <w:sz w:val="22"/>
          <w:szCs w:val="22"/>
          <w:rtl w:val="0"/>
        </w:rPr>
        <w:t xml:space="preserve">:  Communicate effectively in a variety of professional contexts.</w:t>
      </w:r>
      <w:r w:rsidDel="00000000" w:rsidR="00000000" w:rsidRPr="00000000">
        <w:rPr>
          <w:rtl w:val="0"/>
        </w:rPr>
      </w:r>
    </w:p>
    <w:p w:rsidR="00000000" w:rsidDel="00000000" w:rsidP="00000000" w:rsidRDefault="00000000" w:rsidRPr="00000000" w14:paraId="00000015">
      <w:pPr>
        <w:numPr>
          <w:ilvl w:val="0"/>
          <w:numId w:val="1"/>
        </w:numPr>
        <w:ind w:left="720" w:hanging="360"/>
        <w:rPr>
          <w:rFonts w:ascii="Calibri" w:cs="Calibri" w:eastAsia="Calibri" w:hAnsi="Calibri"/>
          <w:color w:val="000000"/>
        </w:rPr>
      </w:pPr>
      <w:r w:rsidDel="00000000" w:rsidR="00000000" w:rsidRPr="00000000">
        <w:rPr>
          <w:rFonts w:ascii="Calibri" w:cs="Calibri" w:eastAsia="Calibri" w:hAnsi="Calibri"/>
          <w:b w:val="1"/>
          <w:color w:val="000000"/>
          <w:sz w:val="22"/>
          <w:szCs w:val="22"/>
          <w:rtl w:val="0"/>
        </w:rPr>
        <w:t xml:space="preserve">Outcome E</w:t>
      </w:r>
      <w:r w:rsidDel="00000000" w:rsidR="00000000" w:rsidRPr="00000000">
        <w:rPr>
          <w:rFonts w:ascii="Calibri" w:cs="Calibri" w:eastAsia="Calibri" w:hAnsi="Calibri"/>
          <w:color w:val="000000"/>
          <w:sz w:val="22"/>
          <w:szCs w:val="22"/>
          <w:rtl w:val="0"/>
        </w:rPr>
        <w:t xml:space="preserve">:   Function effectively as a member or leader of a team engaged in activities appropriate to the program’s discipline.</w:t>
      </w:r>
      <w:r w:rsidDel="00000000" w:rsidR="00000000" w:rsidRPr="00000000">
        <w:rPr>
          <w:rtl w:val="0"/>
        </w:rPr>
      </w:r>
    </w:p>
    <w:p w:rsidR="00000000" w:rsidDel="00000000" w:rsidP="00000000" w:rsidRDefault="00000000" w:rsidRPr="00000000" w14:paraId="00000016">
      <w:pPr>
        <w:numPr>
          <w:ilvl w:val="0"/>
          <w:numId w:val="1"/>
        </w:numPr>
        <w:ind w:left="720" w:hanging="360"/>
        <w:rPr>
          <w:rFonts w:ascii="Calibri" w:cs="Calibri" w:eastAsia="Calibri" w:hAnsi="Calibri"/>
          <w:color w:val="000000"/>
        </w:rPr>
      </w:pPr>
      <w:r w:rsidDel="00000000" w:rsidR="00000000" w:rsidRPr="00000000">
        <w:rPr>
          <w:rFonts w:ascii="Calibri" w:cs="Calibri" w:eastAsia="Calibri" w:hAnsi="Calibri"/>
          <w:b w:val="1"/>
          <w:color w:val="000000"/>
          <w:sz w:val="22"/>
          <w:szCs w:val="22"/>
          <w:rtl w:val="0"/>
        </w:rPr>
        <w:t xml:space="preserve">Outcome F</w:t>
      </w:r>
      <w:r w:rsidDel="00000000" w:rsidR="00000000" w:rsidRPr="00000000">
        <w:rPr>
          <w:rFonts w:ascii="Calibri" w:cs="Calibri" w:eastAsia="Calibri" w:hAnsi="Calibri"/>
          <w:color w:val="000000"/>
          <w:sz w:val="22"/>
          <w:szCs w:val="22"/>
          <w:rtl w:val="0"/>
        </w:rPr>
        <w:t xml:space="preserve">:   Apply computer science theory and software development fundamentals to produce computing based solutions.  Ability to apply knowledge of computing and mathematics appropriate to the discipline; [CS]</w:t>
      </w:r>
      <w:r w:rsidDel="00000000" w:rsidR="00000000" w:rsidRPr="00000000">
        <w:rPr>
          <w:rtl w:val="0"/>
        </w:rPr>
      </w:r>
    </w:p>
    <w:p w:rsidR="00000000" w:rsidDel="00000000" w:rsidP="00000000" w:rsidRDefault="00000000" w:rsidRPr="00000000" w14:paraId="00000017">
      <w:pPr>
        <w:spacing w:after="20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8">
      <w:pPr>
        <w:spacing w:after="200" w:lineRule="auto"/>
        <w:rPr>
          <w:rFonts w:ascii="Times New Roman" w:cs="Times New Roman" w:eastAsia="Times New Roman" w:hAnsi="Times New Roman"/>
          <w:color w:val="000000"/>
        </w:rPr>
      </w:pPr>
      <w:r w:rsidDel="00000000" w:rsidR="00000000" w:rsidRPr="00000000">
        <w:rPr>
          <w:rFonts w:ascii="Calibri" w:cs="Calibri" w:eastAsia="Calibri" w:hAnsi="Calibri"/>
          <w:b w:val="1"/>
          <w:color w:val="000000"/>
          <w:sz w:val="22"/>
          <w:szCs w:val="22"/>
          <w:rtl w:val="0"/>
        </w:rPr>
        <w:t xml:space="preserve">UWT Student Learning Goals that this course contributes to</w:t>
      </w:r>
      <w:r w:rsidDel="00000000" w:rsidR="00000000" w:rsidRPr="00000000">
        <w:rPr>
          <w:rFonts w:ascii="Calibri" w:cs="Calibri" w:eastAsia="Calibri" w:hAnsi="Calibri"/>
          <w:color w:val="000000"/>
          <w:sz w:val="22"/>
          <w:szCs w:val="22"/>
          <w:rtl w:val="0"/>
        </w:rPr>
        <w:t xml:space="preserve"> (to be added to syllabus handed out to students)</w:t>
      </w:r>
      <w:r w:rsidDel="00000000" w:rsidR="00000000" w:rsidRPr="00000000">
        <w:rPr>
          <w:rtl w:val="0"/>
        </w:rPr>
      </w:r>
    </w:p>
    <w:p w:rsidR="00000000" w:rsidDel="00000000" w:rsidP="00000000" w:rsidRDefault="00000000" w:rsidRPr="00000000" w14:paraId="00000019">
      <w:pPr>
        <w:spacing w:after="200" w:lineRule="auto"/>
        <w:rPr>
          <w:rFonts w:ascii="Times New Roman" w:cs="Times New Roman" w:eastAsia="Times New Roman" w:hAnsi="Times New Roman"/>
          <w:color w:val="000000"/>
        </w:rPr>
      </w:pPr>
      <w:r w:rsidDel="00000000" w:rsidR="00000000" w:rsidRPr="00000000">
        <w:rPr>
          <w:rFonts w:ascii="Calibri" w:cs="Calibri" w:eastAsia="Calibri" w:hAnsi="Calibri"/>
          <w:color w:val="000000"/>
          <w:sz w:val="22"/>
          <w:szCs w:val="22"/>
          <w:rtl w:val="0"/>
        </w:rPr>
        <w:t xml:space="preserve">[Below contains the complete list. Remove those that do not apply to this course]</w:t>
      </w:r>
      <w:r w:rsidDel="00000000" w:rsidR="00000000" w:rsidRPr="00000000">
        <w:rPr>
          <w:rtl w:val="0"/>
        </w:rPr>
      </w:r>
    </w:p>
    <w:p w:rsidR="00000000" w:rsidDel="00000000" w:rsidP="00000000" w:rsidRDefault="00000000" w:rsidRPr="00000000" w14:paraId="0000001A">
      <w:pPr>
        <w:spacing w:after="200" w:lineRule="auto"/>
        <w:rPr>
          <w:rFonts w:ascii="Times New Roman" w:cs="Times New Roman" w:eastAsia="Times New Roman" w:hAnsi="Times New Roman"/>
          <w:color w:val="000000"/>
        </w:rPr>
      </w:pPr>
      <w:r w:rsidDel="00000000" w:rsidR="00000000" w:rsidRPr="00000000">
        <w:rPr>
          <w:rFonts w:ascii="Calibri" w:cs="Calibri" w:eastAsia="Calibri" w:hAnsi="Calibri"/>
          <w:i w:val="1"/>
          <w:color w:val="000000"/>
          <w:sz w:val="22"/>
          <w:szCs w:val="22"/>
          <w:rtl w:val="0"/>
        </w:rPr>
        <w:t xml:space="preserve">Inquiry and Critical Thinking</w:t>
        <w:br w:type="textWrapping"/>
      </w:r>
      <w:r w:rsidDel="00000000" w:rsidR="00000000" w:rsidRPr="00000000">
        <w:rPr>
          <w:rFonts w:ascii="Calibri" w:cs="Calibri" w:eastAsia="Calibri" w:hAnsi="Calibri"/>
          <w:color w:val="000000"/>
          <w:sz w:val="22"/>
          <w:szCs w:val="22"/>
          <w:rtl w:val="0"/>
        </w:rPr>
        <w:t xml:space="preserve">Students will acquire skills and familiarity with modes of inquiry and examination from diverse disciplinary perspectives, enabling them to access, interpret, analyze, quantitatively reason, and synthesize information critically.</w:t>
      </w:r>
      <w:r w:rsidDel="00000000" w:rsidR="00000000" w:rsidRPr="00000000">
        <w:rPr>
          <w:rtl w:val="0"/>
        </w:rPr>
      </w:r>
    </w:p>
    <w:p w:rsidR="00000000" w:rsidDel="00000000" w:rsidP="00000000" w:rsidRDefault="00000000" w:rsidRPr="00000000" w14:paraId="0000001B">
      <w:pPr>
        <w:spacing w:after="200" w:lineRule="auto"/>
        <w:rPr>
          <w:rFonts w:ascii="Times New Roman" w:cs="Times New Roman" w:eastAsia="Times New Roman" w:hAnsi="Times New Roman"/>
          <w:color w:val="000000"/>
        </w:rPr>
      </w:pPr>
      <w:r w:rsidDel="00000000" w:rsidR="00000000" w:rsidRPr="00000000">
        <w:rPr>
          <w:rFonts w:ascii="Calibri" w:cs="Calibri" w:eastAsia="Calibri" w:hAnsi="Calibri"/>
          <w:i w:val="1"/>
          <w:color w:val="000000"/>
          <w:sz w:val="22"/>
          <w:szCs w:val="22"/>
          <w:rtl w:val="0"/>
        </w:rPr>
        <w:t xml:space="preserve">Civic Engagement</w:t>
        <w:br w:type="textWrapping"/>
      </w:r>
      <w:r w:rsidDel="00000000" w:rsidR="00000000" w:rsidRPr="00000000">
        <w:rPr>
          <w:rFonts w:ascii="Calibri" w:cs="Calibri" w:eastAsia="Calibri" w:hAnsi="Calibri"/>
          <w:color w:val="000000"/>
          <w:sz w:val="22"/>
          <w:szCs w:val="22"/>
          <w:rtl w:val="0"/>
        </w:rPr>
        <w:t xml:space="preserve">Students will define their roles and responsibilities as members of a broader community and develop an understanding of how they can contribute to that community for the greater good. They will have opportunities for service learning and other forms of active involvement such as undergraduate research.</w:t>
      </w:r>
      <w:r w:rsidDel="00000000" w:rsidR="00000000" w:rsidRPr="00000000">
        <w:rPr>
          <w:rtl w:val="0"/>
        </w:rPr>
      </w:r>
    </w:p>
    <w:p w:rsidR="00000000" w:rsidDel="00000000" w:rsidP="00000000" w:rsidRDefault="00000000" w:rsidRPr="00000000" w14:paraId="0000001C">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Times New Roman"/>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704706"/>
    <w:pPr>
      <w:spacing w:after="100" w:afterAutospacing="1" w:before="100" w:beforeAutospacing="1"/>
    </w:pPr>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Q3hcWM2caDYmFmLd7iqwTk+9/w==">AMUW2mVWIgsjXkuZ8r2XixRoo+D4Tc8aMys11+IOQNu0PTchAtcbzO2jIPK8gFgTeCV4YVnr2AV/KvuScw5Buzw5o7DQlGfNFCuAdnBClXXgzTgDhLTxqyY=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2022-04-25T16:34:00Z</dcterms:created>
  <dc:creator>Anderson C. Nascimento</dc:creator>
</cp:coreProperties>
</file>