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360" w:right="-450" w:firstLine="0"/>
        <w:jc w:val="center"/>
        <w:rPr>
          <w:rFonts w:ascii="Calibri" w:cs="Calibri" w:eastAsia="Calibri" w:hAnsi="Calibri"/>
          <w:b w:val="1"/>
        </w:rPr>
      </w:pPr>
      <w:r w:rsidDel="00000000" w:rsidR="00000000" w:rsidRPr="00000000">
        <w:rPr>
          <w:rFonts w:ascii="Calibri" w:cs="Calibri" w:eastAsia="Calibri" w:hAnsi="Calibri"/>
          <w:b w:val="1"/>
          <w:color w:val="366091"/>
          <w:sz w:val="28"/>
          <w:szCs w:val="28"/>
          <w:rtl w:val="0"/>
        </w:rPr>
        <w:t xml:space="preserve">TCSS 462 Model Syllabus</w:t>
        <w:br w:type="textWrapping"/>
      </w:r>
      <w:r w:rsidDel="00000000" w:rsidR="00000000" w:rsidRPr="00000000">
        <w:rPr>
          <w:rFonts w:ascii="Calibri" w:cs="Calibri" w:eastAsia="Calibri" w:hAnsi="Calibri"/>
          <w:b w:val="1"/>
          <w:color w:val="365f91"/>
          <w:sz w:val="28"/>
          <w:szCs w:val="28"/>
          <w:rtl w:val="0"/>
        </w:rPr>
        <w:t xml:space="preserve">(Approved: May 2022)</w:t>
      </w: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widowControl w:val="0"/>
        <w:spacing w:after="0" w:before="0" w:line="240" w:lineRule="auto"/>
        <w:ind w:hanging="360"/>
        <w:rPr>
          <w:rFonts w:ascii="Calibri" w:cs="Calibri" w:eastAsia="Calibri" w:hAnsi="Calibri"/>
        </w:rPr>
      </w:pPr>
      <w:r w:rsidDel="00000000" w:rsidR="00000000" w:rsidRPr="00000000">
        <w:rPr>
          <w:rFonts w:ascii="Calibri" w:cs="Calibri" w:eastAsia="Calibri" w:hAnsi="Calibri"/>
          <w:b w:val="1"/>
          <w:rtl w:val="0"/>
        </w:rPr>
        <w:t xml:space="preserve">Course Title</w:t>
        <w:br w:type="textWrapping"/>
      </w:r>
      <w:r w:rsidDel="00000000" w:rsidR="00000000" w:rsidRPr="00000000">
        <w:rPr>
          <w:rtl w:val="0"/>
        </w:rPr>
      </w:r>
    </w:p>
    <w:p w:rsidR="00000000" w:rsidDel="00000000" w:rsidP="00000000" w:rsidRDefault="00000000" w:rsidRPr="00000000" w14:paraId="00000004">
      <w:pPr>
        <w:widowControl w:val="0"/>
        <w:spacing w:after="120" w:before="0" w:line="240" w:lineRule="auto"/>
        <w:ind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Cloud Computing</w:t>
      </w:r>
    </w:p>
    <w:p w:rsidR="00000000" w:rsidDel="00000000" w:rsidP="00000000" w:rsidRDefault="00000000" w:rsidRPr="00000000" w14:paraId="00000005">
      <w:pPr>
        <w:widowControl w:val="0"/>
        <w:ind w:left="-36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widowControl w:val="0"/>
        <w:spacing w:after="200" w:before="0" w:line="240" w:lineRule="auto"/>
        <w:ind w:left="-360" w:right="-450" w:firstLine="0"/>
        <w:rPr>
          <w:rFonts w:ascii="Calibri" w:cs="Calibri" w:eastAsia="Calibri" w:hAnsi="Calibri"/>
          <w:b w:val="1"/>
        </w:rPr>
      </w:pPr>
      <w:r w:rsidDel="00000000" w:rsidR="00000000" w:rsidRPr="00000000">
        <w:rPr>
          <w:rFonts w:ascii="Calibri" w:cs="Calibri" w:eastAsia="Calibri" w:hAnsi="Calibri"/>
          <w:b w:val="1"/>
          <w:rtl w:val="0"/>
        </w:rPr>
        <w:t xml:space="preserve">Catalog Description</w:t>
      </w:r>
    </w:p>
    <w:p w:rsidR="00000000" w:rsidDel="00000000" w:rsidP="00000000" w:rsidRDefault="00000000" w:rsidRPr="00000000" w14:paraId="00000007">
      <w:pPr>
        <w:widowControl w:val="0"/>
        <w:ind w:left="-360" w:right="-450" w:firstLine="0"/>
        <w:jc w:val="both"/>
        <w:rPr>
          <w:rFonts w:ascii="Calibri" w:cs="Calibri" w:eastAsia="Calibri" w:hAnsi="Calibri"/>
        </w:rPr>
      </w:pPr>
      <w:r w:rsidDel="00000000" w:rsidR="00000000" w:rsidRPr="00000000">
        <w:rPr>
          <w:rFonts w:ascii="Calibri" w:cs="Calibri" w:eastAsia="Calibri" w:hAnsi="Calibri"/>
          <w:rtl w:val="0"/>
        </w:rPr>
        <w:t xml:space="preserve">Provides a broad overview of topics associated with cloud computing including fundamental principles, service delivery models, foundational and enabling technologies, architecture, design, and virtualization technology. Understanding and mastery is supported through hands-on tutorials, case studies, and a term project. Prerequisite: minimum grade of 2.0 in TCSS 360;</w:t>
      </w:r>
    </w:p>
    <w:p w:rsidR="00000000" w:rsidDel="00000000" w:rsidP="00000000" w:rsidRDefault="00000000" w:rsidRPr="00000000" w14:paraId="00000008">
      <w:pPr>
        <w:widowControl w:val="0"/>
        <w:spacing w:after="200" w:before="240"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Student Learning Goals </w:t>
        <w:br w:type="textWrapping"/>
      </w:r>
      <w:r w:rsidDel="00000000" w:rsidR="00000000" w:rsidRPr="00000000">
        <w:rPr>
          <w:rFonts w:ascii="Calibri" w:cs="Calibri" w:eastAsia="Calibri" w:hAnsi="Calibri"/>
          <w:rtl w:val="0"/>
        </w:rPr>
        <w:t xml:space="preserve">(to be added to syllabus handed out to students)</w:t>
      </w:r>
    </w:p>
    <w:p w:rsidR="00000000" w:rsidDel="00000000" w:rsidP="00000000" w:rsidRDefault="00000000" w:rsidRPr="00000000" w14:paraId="00000009">
      <w:pPr>
        <w:widowControl w:val="0"/>
        <w:numPr>
          <w:ilvl w:val="0"/>
          <w:numId w:val="1"/>
        </w:numPr>
        <w:ind w:left="720" w:hanging="360"/>
        <w:rPr/>
      </w:pPr>
      <w:r w:rsidDel="00000000" w:rsidR="00000000" w:rsidRPr="00000000">
        <w:rPr>
          <w:rFonts w:ascii="Calibri" w:cs="Calibri" w:eastAsia="Calibri" w:hAnsi="Calibri"/>
          <w:rtl w:val="0"/>
        </w:rPr>
        <w:t xml:space="preserve">Define key cloud computing concepts and terminology</w:t>
      </w:r>
      <w:r w:rsidDel="00000000" w:rsidR="00000000" w:rsidRPr="00000000">
        <w:rPr>
          <w:rtl w:val="0"/>
        </w:rPr>
      </w:r>
    </w:p>
    <w:p w:rsidR="00000000" w:rsidDel="00000000" w:rsidP="00000000" w:rsidRDefault="00000000" w:rsidRPr="00000000" w14:paraId="0000000A">
      <w:pPr>
        <w:widowControl w:val="0"/>
        <w:numPr>
          <w:ilvl w:val="0"/>
          <w:numId w:val="1"/>
        </w:numPr>
        <w:ind w:left="720" w:hanging="360"/>
        <w:rPr/>
      </w:pPr>
      <w:r w:rsidDel="00000000" w:rsidR="00000000" w:rsidRPr="00000000">
        <w:rPr>
          <w:rFonts w:ascii="Calibri" w:cs="Calibri" w:eastAsia="Calibri" w:hAnsi="Calibri"/>
          <w:rtl w:val="0"/>
        </w:rPr>
        <w:t xml:space="preserve">Identify characteristics that differentiate modern cloud computing platforms</w:t>
      </w:r>
      <w:r w:rsidDel="00000000" w:rsidR="00000000" w:rsidRPr="00000000">
        <w:rPr>
          <w:rtl w:val="0"/>
        </w:rPr>
      </w:r>
    </w:p>
    <w:p w:rsidR="00000000" w:rsidDel="00000000" w:rsidP="00000000" w:rsidRDefault="00000000" w:rsidRPr="00000000" w14:paraId="0000000B">
      <w:pPr>
        <w:widowControl w:val="0"/>
        <w:numPr>
          <w:ilvl w:val="0"/>
          <w:numId w:val="1"/>
        </w:numPr>
        <w:ind w:left="720" w:hanging="360"/>
        <w:rPr/>
      </w:pPr>
      <w:r w:rsidDel="00000000" w:rsidR="00000000" w:rsidRPr="00000000">
        <w:rPr>
          <w:rFonts w:ascii="Calibri" w:cs="Calibri" w:eastAsia="Calibri" w:hAnsi="Calibri"/>
          <w:rtl w:val="0"/>
        </w:rPr>
        <w:t xml:space="preserve">Describe the resource abstractions used to enable popular cloud computing delivery models</w:t>
      </w:r>
      <w:r w:rsidDel="00000000" w:rsidR="00000000" w:rsidRPr="00000000">
        <w:rPr>
          <w:rtl w:val="0"/>
        </w:rPr>
      </w:r>
    </w:p>
    <w:p w:rsidR="00000000" w:rsidDel="00000000" w:rsidP="00000000" w:rsidRDefault="00000000" w:rsidRPr="00000000" w14:paraId="0000000C">
      <w:pPr>
        <w:widowControl w:val="0"/>
        <w:numPr>
          <w:ilvl w:val="0"/>
          <w:numId w:val="1"/>
        </w:numPr>
        <w:ind w:left="720" w:hanging="360"/>
        <w:rPr/>
      </w:pPr>
      <w:r w:rsidDel="00000000" w:rsidR="00000000" w:rsidRPr="00000000">
        <w:rPr>
          <w:rFonts w:ascii="Calibri" w:cs="Calibri" w:eastAsia="Calibri" w:hAnsi="Calibri"/>
          <w:rtl w:val="0"/>
        </w:rPr>
        <w:t xml:space="preserve">Describe alternative cloud deployment models for deploying software in the cloud</w:t>
      </w:r>
      <w:r w:rsidDel="00000000" w:rsidR="00000000" w:rsidRPr="00000000">
        <w:rPr>
          <w:rtl w:val="0"/>
        </w:rPr>
      </w:r>
    </w:p>
    <w:p w:rsidR="00000000" w:rsidDel="00000000" w:rsidP="00000000" w:rsidRDefault="00000000" w:rsidRPr="00000000" w14:paraId="0000000D">
      <w:pPr>
        <w:widowControl w:val="0"/>
        <w:numPr>
          <w:ilvl w:val="0"/>
          <w:numId w:val="1"/>
        </w:numPr>
        <w:ind w:left="720" w:hanging="360"/>
        <w:rPr/>
      </w:pPr>
      <w:r w:rsidDel="00000000" w:rsidR="00000000" w:rsidRPr="00000000">
        <w:rPr>
          <w:rFonts w:ascii="Calibri" w:cs="Calibri" w:eastAsia="Calibri" w:hAnsi="Calibri"/>
          <w:rtl w:val="0"/>
        </w:rPr>
        <w:t xml:space="preserve">Describe foundational technology that has supported the development and evolution of modem cloud computing </w:t>
      </w:r>
      <w:r w:rsidDel="00000000" w:rsidR="00000000" w:rsidRPr="00000000">
        <w:rPr>
          <w:rtl w:val="0"/>
        </w:rPr>
      </w:r>
    </w:p>
    <w:p w:rsidR="00000000" w:rsidDel="00000000" w:rsidP="00000000" w:rsidRDefault="00000000" w:rsidRPr="00000000" w14:paraId="0000000E">
      <w:pPr>
        <w:widowControl w:val="0"/>
        <w:numPr>
          <w:ilvl w:val="0"/>
          <w:numId w:val="1"/>
        </w:numPr>
        <w:ind w:left="720" w:hanging="360"/>
        <w:rPr/>
      </w:pPr>
      <w:r w:rsidDel="00000000" w:rsidR="00000000" w:rsidRPr="00000000">
        <w:rPr>
          <w:rFonts w:ascii="Calibri" w:cs="Calibri" w:eastAsia="Calibri" w:hAnsi="Calibri"/>
          <w:rtl w:val="0"/>
        </w:rPr>
        <w:t xml:space="preserve">Identify common cloud infrastructure abstractions for networking, virtual servers, and cloud storage</w:t>
      </w:r>
      <w:r w:rsidDel="00000000" w:rsidR="00000000" w:rsidRPr="00000000">
        <w:rPr>
          <w:rtl w:val="0"/>
        </w:rPr>
      </w:r>
    </w:p>
    <w:p w:rsidR="00000000" w:rsidDel="00000000" w:rsidP="00000000" w:rsidRDefault="00000000" w:rsidRPr="00000000" w14:paraId="0000000F">
      <w:pPr>
        <w:widowControl w:val="0"/>
        <w:numPr>
          <w:ilvl w:val="0"/>
          <w:numId w:val="1"/>
        </w:numPr>
        <w:ind w:left="720" w:hanging="360"/>
        <w:rPr/>
      </w:pPr>
      <w:r w:rsidDel="00000000" w:rsidR="00000000" w:rsidRPr="00000000">
        <w:rPr>
          <w:rFonts w:ascii="Calibri" w:cs="Calibri" w:eastAsia="Calibri" w:hAnsi="Calibri"/>
          <w:rtl w:val="0"/>
        </w:rPr>
        <w:t xml:space="preserve">Understand and apply containerization and orchestration tools</w:t>
      </w:r>
      <w:r w:rsidDel="00000000" w:rsidR="00000000" w:rsidRPr="00000000">
        <w:rPr>
          <w:rtl w:val="0"/>
        </w:rPr>
      </w:r>
    </w:p>
    <w:p w:rsidR="00000000" w:rsidDel="00000000" w:rsidP="00000000" w:rsidRDefault="00000000" w:rsidRPr="00000000" w14:paraId="00000010">
      <w:pPr>
        <w:widowControl w:val="0"/>
        <w:numPr>
          <w:ilvl w:val="0"/>
          <w:numId w:val="1"/>
        </w:numPr>
        <w:ind w:left="720" w:hanging="360"/>
        <w:rPr/>
      </w:pPr>
      <w:r w:rsidDel="00000000" w:rsidR="00000000" w:rsidRPr="00000000">
        <w:rPr>
          <w:rFonts w:ascii="Calibri" w:cs="Calibri" w:eastAsia="Calibri" w:hAnsi="Calibri"/>
          <w:rtl w:val="0"/>
        </w:rPr>
        <w:t xml:space="preserve">Diagnose application performance using cloud monitoring and benchmarking tools</w:t>
      </w: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pPr>
      <w:r w:rsidDel="00000000" w:rsidR="00000000" w:rsidRPr="00000000">
        <w:rPr>
          <w:rFonts w:ascii="Calibri" w:cs="Calibri" w:eastAsia="Calibri" w:hAnsi="Calibri"/>
          <w:rtl w:val="0"/>
        </w:rPr>
        <w:t xml:space="preserve">Describe resource management and scalability approaches</w:t>
      </w:r>
      <w:r w:rsidDel="00000000" w:rsidR="00000000" w:rsidRPr="00000000">
        <w:rPr>
          <w:rtl w:val="0"/>
        </w:rPr>
      </w:r>
    </w:p>
    <w:p w:rsidR="00000000" w:rsidDel="00000000" w:rsidP="00000000" w:rsidRDefault="00000000" w:rsidRPr="00000000" w14:paraId="00000012">
      <w:pPr>
        <w:widowControl w:val="0"/>
        <w:numPr>
          <w:ilvl w:val="0"/>
          <w:numId w:val="1"/>
        </w:numPr>
        <w:ind w:left="720" w:hanging="360"/>
        <w:rPr/>
      </w:pPr>
      <w:r w:rsidDel="00000000" w:rsidR="00000000" w:rsidRPr="00000000">
        <w:rPr>
          <w:rFonts w:ascii="Calibri" w:cs="Calibri" w:eastAsia="Calibri" w:hAnsi="Calibri"/>
          <w:rtl w:val="0"/>
        </w:rPr>
        <w:t xml:space="preserve">Understand and apply basic cloud security mechanisms</w:t>
      </w:r>
      <w:r w:rsidDel="00000000" w:rsidR="00000000" w:rsidRPr="00000000">
        <w:rPr>
          <w:rtl w:val="0"/>
        </w:rPr>
      </w:r>
    </w:p>
    <w:p w:rsidR="00000000" w:rsidDel="00000000" w:rsidP="00000000" w:rsidRDefault="00000000" w:rsidRPr="00000000" w14:paraId="00000013">
      <w:pPr>
        <w:widowControl w:val="0"/>
        <w:ind w:left="1080" w:firstLine="0"/>
        <w:rPr>
          <w:rFonts w:ascii="Calibri" w:cs="Calibri" w:eastAsia="Calibri" w:hAnsi="Calibri"/>
          <w:u w:val="none"/>
        </w:rPr>
      </w:pPr>
      <w:r w:rsidDel="00000000" w:rsidR="00000000" w:rsidRPr="00000000">
        <w:rPr>
          <w:rtl w:val="0"/>
        </w:rPr>
      </w:r>
    </w:p>
    <w:p w:rsidR="00000000" w:rsidDel="00000000" w:rsidP="00000000" w:rsidRDefault="00000000" w:rsidRPr="00000000" w14:paraId="00000014">
      <w:pPr>
        <w:widowControl w:val="0"/>
        <w:spacing w:after="200" w:before="120" w:line="240" w:lineRule="auto"/>
        <w:ind w:left="-360" w:firstLine="0"/>
        <w:jc w:val="both"/>
        <w:rPr>
          <w:rFonts w:ascii="Calibri" w:cs="Calibri" w:eastAsia="Calibri" w:hAnsi="Calibri"/>
        </w:rPr>
      </w:pPr>
      <w:r w:rsidDel="00000000" w:rsidR="00000000" w:rsidRPr="00000000">
        <w:rPr>
          <w:rFonts w:ascii="Calibri" w:cs="Calibri" w:eastAsia="Calibri" w:hAnsi="Calibri"/>
          <w:b w:val="1"/>
          <w:rtl w:val="0"/>
        </w:rPr>
        <w:t xml:space="preserve">CSS Degree Student Learning Outcomes that this course contributes to  </w:t>
        <w:br w:type="textWrapping"/>
      </w:r>
      <w:r w:rsidDel="00000000" w:rsidR="00000000" w:rsidRPr="00000000">
        <w:rPr>
          <w:rFonts w:ascii="Calibri" w:cs="Calibri" w:eastAsia="Calibri" w:hAnsi="Calibri"/>
          <w:rtl w:val="0"/>
        </w:rPr>
        <w:t xml:space="preserve">(to be added to syllabus handed out to students)  Note that the use of the term outcome here instead of goal is simply for purposes of integration with ABET and has no other semantic import.</w:t>
      </w:r>
    </w:p>
    <w:p w:rsidR="00000000" w:rsidDel="00000000" w:rsidP="00000000" w:rsidRDefault="00000000" w:rsidRPr="00000000" w14:paraId="00000015">
      <w:pPr>
        <w:widowControl w:val="0"/>
        <w:numPr>
          <w:ilvl w:val="0"/>
          <w:numId w:val="3"/>
        </w:numPr>
        <w:ind w:left="720" w:hanging="360"/>
        <w:jc w:val="both"/>
        <w:rPr/>
      </w:pPr>
      <w:r w:rsidDel="00000000" w:rsidR="00000000" w:rsidRPr="00000000">
        <w:rPr>
          <w:rFonts w:ascii="Calibri" w:cs="Calibri" w:eastAsia="Calibri" w:hAnsi="Calibri"/>
          <w:rtl w:val="0"/>
        </w:rPr>
        <w:t xml:space="preserve">A. Analyze a complex computing problem and to apply principles of computing and other relevant disciplines to identify solutions.</w:t>
      </w:r>
      <w:r w:rsidDel="00000000" w:rsidR="00000000" w:rsidRPr="00000000">
        <w:rPr>
          <w:rtl w:val="0"/>
        </w:rPr>
      </w:r>
    </w:p>
    <w:p w:rsidR="00000000" w:rsidDel="00000000" w:rsidP="00000000" w:rsidRDefault="00000000" w:rsidRPr="00000000" w14:paraId="00000016">
      <w:pPr>
        <w:widowControl w:val="0"/>
        <w:numPr>
          <w:ilvl w:val="0"/>
          <w:numId w:val="3"/>
        </w:numPr>
        <w:ind w:left="720" w:hanging="360"/>
        <w:jc w:val="both"/>
        <w:rPr/>
      </w:pPr>
      <w:r w:rsidDel="00000000" w:rsidR="00000000" w:rsidRPr="00000000">
        <w:rPr>
          <w:rFonts w:ascii="Calibri" w:cs="Calibri" w:eastAsia="Calibri" w:hAnsi="Calibri"/>
          <w:rtl w:val="0"/>
        </w:rPr>
        <w:t xml:space="preserve">B.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17">
      <w:pPr>
        <w:widowControl w:val="0"/>
        <w:numPr>
          <w:ilvl w:val="0"/>
          <w:numId w:val="3"/>
        </w:numPr>
        <w:ind w:left="720" w:hanging="360"/>
        <w:jc w:val="both"/>
        <w:rPr/>
      </w:pPr>
      <w:r w:rsidDel="00000000" w:rsidR="00000000" w:rsidRPr="00000000">
        <w:rPr>
          <w:rFonts w:ascii="Calibri" w:cs="Calibri" w:eastAsia="Calibri" w:hAnsi="Calibri"/>
          <w:rtl w:val="0"/>
        </w:rPr>
        <w:t xml:space="preserve">E. Function effectively as a member or leader of a team engaged in activities appropriate to the program’s discipline.</w:t>
      </w:r>
      <w:r w:rsidDel="00000000" w:rsidR="00000000" w:rsidRPr="00000000">
        <w:rPr>
          <w:rtl w:val="0"/>
        </w:rPr>
      </w:r>
    </w:p>
    <w:p w:rsidR="00000000" w:rsidDel="00000000" w:rsidP="00000000" w:rsidRDefault="00000000" w:rsidRPr="00000000" w14:paraId="00000018">
      <w:pPr>
        <w:widowControl w:val="0"/>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 Apply computer science theory and software development fundamentals to produce computing-based solutions.</w:t>
      </w:r>
    </w:p>
    <w:p w:rsidR="00000000" w:rsidDel="00000000" w:rsidP="00000000" w:rsidRDefault="00000000" w:rsidRPr="00000000" w14:paraId="00000019">
      <w:pPr>
        <w:widowControl w:val="0"/>
        <w:ind w:left="-360" w:right="-540" w:firstLine="0"/>
        <w:jc w:val="both"/>
        <w:rPr>
          <w:rFonts w:ascii="Calibri" w:cs="Calibri" w:eastAsia="Calibri" w:hAnsi="Calibri"/>
        </w:rPr>
      </w:pPr>
      <w:bookmarkStart w:colFirst="0" w:colLast="0" w:name="_heading=h.rvzooypmjm1m" w:id="0"/>
      <w:bookmarkEnd w:id="0"/>
      <w:r w:rsidDel="00000000" w:rsidR="00000000" w:rsidRPr="00000000">
        <w:rPr>
          <w:rtl w:val="0"/>
        </w:rPr>
      </w:r>
    </w:p>
    <w:p w:rsidR="00000000" w:rsidDel="00000000" w:rsidP="00000000" w:rsidRDefault="00000000" w:rsidRPr="00000000" w14:paraId="0000001A">
      <w:pPr>
        <w:widowControl w:val="0"/>
        <w:spacing w:after="120" w:before="0"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UWT Student Learning Goals that this course contributes to</w:t>
      </w:r>
      <w:r w:rsidDel="00000000" w:rsidR="00000000" w:rsidRPr="00000000">
        <w:rPr>
          <w:rFonts w:ascii="Calibri" w:cs="Calibri" w:eastAsia="Calibri" w:hAnsi="Calibri"/>
          <w:b w:val="1"/>
          <w:sz w:val="22"/>
          <w:szCs w:val="22"/>
          <w:rtl w:val="0"/>
        </w:rPr>
        <w:t xml:space="preserve">  </w:t>
        <w:br w:type="textWrapping"/>
      </w:r>
      <w:r w:rsidDel="00000000" w:rsidR="00000000" w:rsidRPr="00000000">
        <w:rPr>
          <w:rFonts w:ascii="Calibri" w:cs="Calibri" w:eastAsia="Calibri" w:hAnsi="Calibri"/>
          <w:rtl w:val="0"/>
        </w:rPr>
        <w:t xml:space="preserve">(to be added to syllabus handed out to students)</w:t>
      </w:r>
    </w:p>
    <w:p w:rsidR="00000000" w:rsidDel="00000000" w:rsidP="00000000" w:rsidRDefault="00000000" w:rsidRPr="00000000" w14:paraId="0000001B">
      <w:pPr>
        <w:widowControl w:val="0"/>
        <w:numPr>
          <w:ilvl w:val="0"/>
          <w:numId w:val="4"/>
        </w:numPr>
        <w:spacing w:line="276" w:lineRule="auto"/>
        <w:ind w:left="720" w:hanging="360"/>
        <w:jc w:val="both"/>
        <w:rPr/>
      </w:pPr>
      <w:r w:rsidDel="00000000" w:rsidR="00000000" w:rsidRPr="00000000">
        <w:rPr>
          <w:rFonts w:ascii="Calibri" w:cs="Calibri" w:eastAsia="Calibri" w:hAnsi="Calibri"/>
          <w:i w:val="1"/>
          <w:rtl w:val="0"/>
        </w:rPr>
        <w:t xml:space="preserve">Inquiry and Critical Thinking</w:t>
      </w:r>
      <w:r w:rsidDel="00000000" w:rsidR="00000000" w:rsidRPr="00000000">
        <w:rPr>
          <w:rFonts w:ascii="Calibri" w:cs="Calibri" w:eastAsia="Calibri" w:hAnsi="Calibri"/>
          <w:rtl w:val="0"/>
        </w:rPr>
        <w:t xml:space="preserve">: Students will acquire skills and familiarity with modes of inquiry and examination from diverse disciplinary perspectives, enabling them to access, interpret, analyze, quantitatively reason, and synthesize information critically.</w:t>
      </w:r>
      <w:r w:rsidDel="00000000" w:rsidR="00000000" w:rsidRPr="00000000">
        <w:rPr>
          <w:rtl w:val="0"/>
        </w:rPr>
      </w:r>
    </w:p>
    <w:p w:rsidR="00000000" w:rsidDel="00000000" w:rsidP="00000000" w:rsidRDefault="00000000" w:rsidRPr="00000000" w14:paraId="0000001C">
      <w:pPr>
        <w:widowControl w:val="0"/>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i w:val="1"/>
          <w:rtl w:val="0"/>
        </w:rPr>
        <w:t xml:space="preserve">Communication/Self-Expression</w:t>
      </w:r>
      <w:r w:rsidDel="00000000" w:rsidR="00000000" w:rsidRPr="00000000">
        <w:rPr>
          <w:rFonts w:ascii="Calibri" w:cs="Calibri" w:eastAsia="Calibri" w:hAnsi="Calibri"/>
          <w:rtl w:val="0"/>
        </w:rPr>
        <w:t xml:space="preserve">: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1D">
      <w:pPr>
        <w:widowControl w:val="0"/>
        <w:spacing w:after="0" w:before="200" w:line="240" w:lineRule="auto"/>
        <w:ind w:right="-907" w:hanging="450"/>
        <w:rPr>
          <w:rFonts w:ascii="Calibri" w:cs="Calibri" w:eastAsia="Calibri" w:hAnsi="Calibri"/>
        </w:rPr>
      </w:pPr>
      <w:r w:rsidDel="00000000" w:rsidR="00000000" w:rsidRPr="00000000">
        <w:rPr>
          <w:rFonts w:ascii="Calibri" w:cs="Calibri" w:eastAsia="Calibri" w:hAnsi="Calibri"/>
          <w:b w:val="1"/>
          <w:rtl w:val="0"/>
        </w:rPr>
        <w:t xml:space="preserve">Topics</w:t>
      </w:r>
      <w:r w:rsidDel="00000000" w:rsidR="00000000" w:rsidRPr="00000000">
        <w:rPr>
          <w:rtl w:val="0"/>
        </w:rPr>
      </w:r>
    </w:p>
    <w:p w:rsidR="00000000" w:rsidDel="00000000" w:rsidP="00000000" w:rsidRDefault="00000000" w:rsidRPr="00000000" w14:paraId="0000001E">
      <w:pPr>
        <w:widowControl w:val="0"/>
        <w:numPr>
          <w:ilvl w:val="0"/>
          <w:numId w:val="5"/>
        </w:numPr>
        <w:ind w:left="720" w:right="-907" w:hanging="360"/>
        <w:rPr/>
      </w:pPr>
      <w:r w:rsidDel="00000000" w:rsidR="00000000" w:rsidRPr="00000000">
        <w:rPr>
          <w:rFonts w:ascii="Calibri" w:cs="Calibri" w:eastAsia="Calibri" w:hAnsi="Calibri"/>
          <w:rtl w:val="0"/>
        </w:rPr>
        <w:t xml:space="preserve">    Cloud basics</w:t>
      </w:r>
      <w:r w:rsidDel="00000000" w:rsidR="00000000" w:rsidRPr="00000000">
        <w:rPr>
          <w:rtl w:val="0"/>
        </w:rPr>
      </w:r>
    </w:p>
    <w:p w:rsidR="00000000" w:rsidDel="00000000" w:rsidP="00000000" w:rsidRDefault="00000000" w:rsidRPr="00000000" w14:paraId="0000001F">
      <w:pPr>
        <w:widowControl w:val="0"/>
        <w:numPr>
          <w:ilvl w:val="0"/>
          <w:numId w:val="5"/>
        </w:numPr>
        <w:ind w:left="720" w:right="-907" w:hanging="360"/>
        <w:rPr/>
      </w:pPr>
      <w:r w:rsidDel="00000000" w:rsidR="00000000" w:rsidRPr="00000000">
        <w:rPr>
          <w:rFonts w:ascii="Calibri" w:cs="Calibri" w:eastAsia="Calibri" w:hAnsi="Calibri"/>
          <w:rtl w:val="0"/>
        </w:rPr>
        <w:t xml:space="preserve">    Cloud service delivery models</w:t>
      </w:r>
      <w:r w:rsidDel="00000000" w:rsidR="00000000" w:rsidRPr="00000000">
        <w:rPr>
          <w:rtl w:val="0"/>
        </w:rPr>
      </w:r>
    </w:p>
    <w:p w:rsidR="00000000" w:rsidDel="00000000" w:rsidP="00000000" w:rsidRDefault="00000000" w:rsidRPr="00000000" w14:paraId="00000020">
      <w:pPr>
        <w:widowControl w:val="0"/>
        <w:numPr>
          <w:ilvl w:val="0"/>
          <w:numId w:val="5"/>
        </w:numPr>
        <w:ind w:left="720" w:right="-907" w:hanging="360"/>
        <w:rPr/>
      </w:pPr>
      <w:r w:rsidDel="00000000" w:rsidR="00000000" w:rsidRPr="00000000">
        <w:rPr>
          <w:rFonts w:ascii="Calibri" w:cs="Calibri" w:eastAsia="Calibri" w:hAnsi="Calibri"/>
          <w:rtl w:val="0"/>
        </w:rPr>
        <w:t xml:space="preserve">    Virtualization and Virtual Machines</w:t>
      </w:r>
      <w:r w:rsidDel="00000000" w:rsidR="00000000" w:rsidRPr="00000000">
        <w:rPr>
          <w:rtl w:val="0"/>
        </w:rPr>
      </w:r>
    </w:p>
    <w:p w:rsidR="00000000" w:rsidDel="00000000" w:rsidP="00000000" w:rsidRDefault="00000000" w:rsidRPr="00000000" w14:paraId="00000021">
      <w:pPr>
        <w:widowControl w:val="0"/>
        <w:numPr>
          <w:ilvl w:val="0"/>
          <w:numId w:val="5"/>
        </w:numPr>
        <w:ind w:left="720" w:right="-907" w:hanging="360"/>
        <w:rPr/>
      </w:pPr>
      <w:r w:rsidDel="00000000" w:rsidR="00000000" w:rsidRPr="00000000">
        <w:rPr>
          <w:rFonts w:ascii="Calibri" w:cs="Calibri" w:eastAsia="Calibri" w:hAnsi="Calibri"/>
          <w:rtl w:val="0"/>
        </w:rPr>
        <w:t xml:space="preserve">    Cloud storage abstractions</w:t>
      </w:r>
      <w:r w:rsidDel="00000000" w:rsidR="00000000" w:rsidRPr="00000000">
        <w:rPr>
          <w:rtl w:val="0"/>
        </w:rPr>
      </w:r>
    </w:p>
    <w:p w:rsidR="00000000" w:rsidDel="00000000" w:rsidP="00000000" w:rsidRDefault="00000000" w:rsidRPr="00000000" w14:paraId="00000022">
      <w:pPr>
        <w:widowControl w:val="0"/>
        <w:numPr>
          <w:ilvl w:val="0"/>
          <w:numId w:val="5"/>
        </w:numPr>
        <w:ind w:left="720" w:right="-907" w:hanging="360"/>
        <w:rPr/>
      </w:pPr>
      <w:r w:rsidDel="00000000" w:rsidR="00000000" w:rsidRPr="00000000">
        <w:rPr>
          <w:rFonts w:ascii="Calibri" w:cs="Calibri" w:eastAsia="Calibri" w:hAnsi="Calibri"/>
          <w:rtl w:val="0"/>
        </w:rPr>
        <w:t xml:space="preserve">    Containerization and orchestration</w:t>
      </w:r>
      <w:r w:rsidDel="00000000" w:rsidR="00000000" w:rsidRPr="00000000">
        <w:rPr>
          <w:rtl w:val="0"/>
        </w:rPr>
      </w:r>
    </w:p>
    <w:p w:rsidR="00000000" w:rsidDel="00000000" w:rsidP="00000000" w:rsidRDefault="00000000" w:rsidRPr="00000000" w14:paraId="00000023">
      <w:pPr>
        <w:widowControl w:val="0"/>
        <w:numPr>
          <w:ilvl w:val="0"/>
          <w:numId w:val="5"/>
        </w:numPr>
        <w:ind w:left="720" w:right="-907" w:hanging="360"/>
        <w:rPr/>
      </w:pPr>
      <w:r w:rsidDel="00000000" w:rsidR="00000000" w:rsidRPr="00000000">
        <w:rPr>
          <w:rFonts w:ascii="Calibri" w:cs="Calibri" w:eastAsia="Calibri" w:hAnsi="Calibri"/>
          <w:rtl w:val="0"/>
        </w:rPr>
        <w:t xml:space="preserve">    Cloud monitoring tools</w:t>
      </w:r>
      <w:r w:rsidDel="00000000" w:rsidR="00000000" w:rsidRPr="00000000">
        <w:rPr>
          <w:rtl w:val="0"/>
        </w:rPr>
      </w:r>
    </w:p>
    <w:p w:rsidR="00000000" w:rsidDel="00000000" w:rsidP="00000000" w:rsidRDefault="00000000" w:rsidRPr="00000000" w14:paraId="00000024">
      <w:pPr>
        <w:widowControl w:val="0"/>
        <w:numPr>
          <w:ilvl w:val="0"/>
          <w:numId w:val="5"/>
        </w:numPr>
        <w:ind w:left="720" w:right="-907" w:hanging="360"/>
        <w:rPr/>
      </w:pPr>
      <w:r w:rsidDel="00000000" w:rsidR="00000000" w:rsidRPr="00000000">
        <w:rPr>
          <w:rFonts w:ascii="Calibri" w:cs="Calibri" w:eastAsia="Calibri" w:hAnsi="Calibri"/>
          <w:rtl w:val="0"/>
        </w:rPr>
        <w:t xml:space="preserve">    Benchmarking and performance evaluation</w:t>
      </w:r>
      <w:r w:rsidDel="00000000" w:rsidR="00000000" w:rsidRPr="00000000">
        <w:rPr>
          <w:rtl w:val="0"/>
        </w:rPr>
      </w:r>
    </w:p>
    <w:p w:rsidR="00000000" w:rsidDel="00000000" w:rsidP="00000000" w:rsidRDefault="00000000" w:rsidRPr="00000000" w14:paraId="00000025">
      <w:pPr>
        <w:widowControl w:val="0"/>
        <w:numPr>
          <w:ilvl w:val="0"/>
          <w:numId w:val="5"/>
        </w:numPr>
        <w:ind w:left="720" w:right="-907" w:hanging="360"/>
        <w:rPr/>
      </w:pPr>
      <w:r w:rsidDel="00000000" w:rsidR="00000000" w:rsidRPr="00000000">
        <w:rPr>
          <w:rFonts w:ascii="Calibri" w:cs="Calibri" w:eastAsia="Calibri" w:hAnsi="Calibri"/>
          <w:rtl w:val="0"/>
        </w:rPr>
        <w:t xml:space="preserve">    Fundamental cloud security</w:t>
      </w:r>
      <w:r w:rsidDel="00000000" w:rsidR="00000000" w:rsidRPr="00000000">
        <w:rPr>
          <w:rtl w:val="0"/>
        </w:rPr>
      </w:r>
    </w:p>
    <w:p w:rsidR="00000000" w:rsidDel="00000000" w:rsidP="00000000" w:rsidRDefault="00000000" w:rsidRPr="00000000" w14:paraId="00000026">
      <w:pPr>
        <w:widowControl w:val="0"/>
        <w:numPr>
          <w:ilvl w:val="0"/>
          <w:numId w:val="5"/>
        </w:numPr>
        <w:ind w:left="720" w:right="-907" w:hanging="360"/>
        <w:rPr/>
      </w:pPr>
      <w:r w:rsidDel="00000000" w:rsidR="00000000" w:rsidRPr="00000000">
        <w:rPr>
          <w:rFonts w:ascii="Calibri" w:cs="Calibri" w:eastAsia="Calibri" w:hAnsi="Calibri"/>
          <w:rtl w:val="0"/>
        </w:rPr>
        <w:t xml:space="preserve">    Infrastructure management and scalability</w:t>
      </w:r>
      <w:r w:rsidDel="00000000" w:rsidR="00000000" w:rsidRPr="00000000">
        <w:rPr>
          <w:rtl w:val="0"/>
        </w:rPr>
      </w:r>
    </w:p>
    <w:p w:rsidR="00000000" w:rsidDel="00000000" w:rsidP="00000000" w:rsidRDefault="00000000" w:rsidRPr="00000000" w14:paraId="00000027">
      <w:pPr>
        <w:widowControl w:val="0"/>
        <w:ind w:left="720" w:right="-907" w:hanging="360"/>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after="0" w:before="200" w:line="240" w:lineRule="auto"/>
        <w:ind w:right="-907" w:hanging="450"/>
        <w:rPr>
          <w:rFonts w:ascii="Calibri" w:cs="Calibri" w:eastAsia="Calibri" w:hAnsi="Calibri"/>
        </w:rPr>
      </w:pPr>
      <w:r w:rsidDel="00000000" w:rsidR="00000000" w:rsidRPr="00000000">
        <w:rPr>
          <w:rFonts w:ascii="Calibri" w:cs="Calibri" w:eastAsia="Calibri" w:hAnsi="Calibri"/>
          <w:b w:val="1"/>
          <w:rtl w:val="0"/>
        </w:rPr>
        <w:t xml:space="preserve">Optional Topics</w:t>
      </w:r>
      <w:r w:rsidDel="00000000" w:rsidR="00000000" w:rsidRPr="00000000">
        <w:rPr>
          <w:rtl w:val="0"/>
        </w:rPr>
      </w:r>
    </w:p>
    <w:p w:rsidR="00000000" w:rsidDel="00000000" w:rsidP="00000000" w:rsidRDefault="00000000" w:rsidRPr="00000000" w14:paraId="00000029">
      <w:pPr>
        <w:widowControl w:val="0"/>
        <w:numPr>
          <w:ilvl w:val="0"/>
          <w:numId w:val="5"/>
        </w:numPr>
        <w:ind w:left="720" w:right="-907" w:hanging="360"/>
        <w:rPr/>
      </w:pPr>
      <w:r w:rsidDel="00000000" w:rsidR="00000000" w:rsidRPr="00000000">
        <w:rPr>
          <w:rFonts w:ascii="Calibri" w:cs="Calibri" w:eastAsia="Calibri" w:hAnsi="Calibri"/>
          <w:rtl w:val="0"/>
        </w:rPr>
        <w:t xml:space="preserve">    Cloud networking</w:t>
      </w:r>
      <w:r w:rsidDel="00000000" w:rsidR="00000000" w:rsidRPr="00000000">
        <w:rPr>
          <w:rtl w:val="0"/>
        </w:rPr>
      </w:r>
    </w:p>
    <w:p w:rsidR="00000000" w:rsidDel="00000000" w:rsidP="00000000" w:rsidRDefault="00000000" w:rsidRPr="00000000" w14:paraId="0000002A">
      <w:pPr>
        <w:widowControl w:val="0"/>
        <w:numPr>
          <w:ilvl w:val="0"/>
          <w:numId w:val="5"/>
        </w:numPr>
        <w:ind w:left="720" w:right="-907" w:hanging="360"/>
        <w:rPr/>
      </w:pPr>
      <w:r w:rsidDel="00000000" w:rsidR="00000000" w:rsidRPr="00000000">
        <w:rPr>
          <w:rFonts w:ascii="Calibri" w:cs="Calibri" w:eastAsia="Calibri" w:hAnsi="Calibri"/>
          <w:rtl w:val="0"/>
        </w:rPr>
        <w:t xml:space="preserve">    Deployment models and architectures</w:t>
      </w:r>
      <w:r w:rsidDel="00000000" w:rsidR="00000000" w:rsidRPr="00000000">
        <w:rPr>
          <w:rtl w:val="0"/>
        </w:rPr>
      </w:r>
    </w:p>
    <w:p w:rsidR="00000000" w:rsidDel="00000000" w:rsidP="00000000" w:rsidRDefault="00000000" w:rsidRPr="00000000" w14:paraId="0000002B">
      <w:pPr>
        <w:widowControl w:val="0"/>
        <w:numPr>
          <w:ilvl w:val="0"/>
          <w:numId w:val="5"/>
        </w:numPr>
        <w:ind w:left="720" w:right="-907" w:hanging="360"/>
        <w:rPr/>
      </w:pPr>
      <w:r w:rsidDel="00000000" w:rsidR="00000000" w:rsidRPr="00000000">
        <w:rPr>
          <w:rFonts w:ascii="Calibri" w:cs="Calibri" w:eastAsia="Calibri" w:hAnsi="Calibri"/>
          <w:rtl w:val="0"/>
        </w:rPr>
        <w:t xml:space="preserve">    Service quality metrics</w:t>
      </w:r>
      <w:r w:rsidDel="00000000" w:rsidR="00000000" w:rsidRPr="00000000">
        <w:rPr>
          <w:rtl w:val="0"/>
        </w:rPr>
      </w:r>
    </w:p>
    <w:p w:rsidR="00000000" w:rsidDel="00000000" w:rsidP="00000000" w:rsidRDefault="00000000" w:rsidRPr="00000000" w14:paraId="0000002C">
      <w:pPr>
        <w:widowControl w:val="0"/>
        <w:numPr>
          <w:ilvl w:val="0"/>
          <w:numId w:val="5"/>
        </w:numPr>
        <w:ind w:left="720" w:right="-907" w:hanging="360"/>
        <w:rPr/>
      </w:pPr>
      <w:r w:rsidDel="00000000" w:rsidR="00000000" w:rsidRPr="00000000">
        <w:rPr>
          <w:rFonts w:ascii="Calibri" w:cs="Calibri" w:eastAsia="Calibri" w:hAnsi="Calibri"/>
          <w:rtl w:val="0"/>
        </w:rPr>
        <w:t xml:space="preserve">    Infrastructure as code</w:t>
      </w:r>
      <w:r w:rsidDel="00000000" w:rsidR="00000000" w:rsidRPr="00000000">
        <w:rPr>
          <w:rtl w:val="0"/>
        </w:rPr>
      </w:r>
    </w:p>
    <w:p w:rsidR="00000000" w:rsidDel="00000000" w:rsidP="00000000" w:rsidRDefault="00000000" w:rsidRPr="00000000" w14:paraId="0000002D">
      <w:pPr>
        <w:widowControl w:val="0"/>
        <w:ind w:left="720" w:right="-907" w:hanging="360"/>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ind w:left="720" w:right="-907" w:hanging="36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ind w:left="720" w:right="-907" w:hanging="360"/>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44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Example Schedule</w:t>
      </w:r>
      <w:r w:rsidDel="00000000" w:rsidR="00000000" w:rsidRPr="00000000">
        <w:rPr>
          <w:rtl w:val="0"/>
        </w:rPr>
      </w:r>
    </w:p>
    <w:tbl>
      <w:tblPr>
        <w:tblStyle w:val="Table1"/>
        <w:tblW w:w="9120.0" w:type="dxa"/>
        <w:jc w:val="left"/>
        <w:tblInd w:w="90.0" w:type="dxa"/>
        <w:tblLayout w:type="fixed"/>
        <w:tblLook w:val="0000"/>
      </w:tblPr>
      <w:tblGrid>
        <w:gridCol w:w="1078"/>
        <w:gridCol w:w="8042"/>
        <w:tblGridChange w:id="0">
          <w:tblGrid>
            <w:gridCol w:w="1078"/>
            <w:gridCol w:w="8042"/>
          </w:tblGrid>
        </w:tblGridChange>
      </w:tblGrid>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Week</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Topics Covered</w:t>
            </w:r>
            <w:r w:rsidDel="00000000" w:rsidR="00000000" w:rsidRPr="00000000">
              <w:rPr>
                <w:rtl w:val="0"/>
              </w:rPr>
            </w:r>
          </w:p>
        </w:tc>
      </w:tr>
      <w:tr>
        <w:trPr>
          <w:cantSplit w:val="0"/>
          <w:trHeight w:val="52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computing concepts and terminology</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computing goals/benefits, risks/challenges</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characteristics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service delivery models (Part A)</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service delivery models (Part B)</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Cloud-enabling (foundational) technologies</w:t>
            </w:r>
            <w:r w:rsidDel="00000000" w:rsidR="00000000" w:rsidRPr="00000000">
              <w:rPr>
                <w:rtl w:val="0"/>
              </w:rPr>
            </w:r>
          </w:p>
        </w:tc>
      </w:tr>
      <w:tr>
        <w:trPr>
          <w:cantSplit w:val="0"/>
          <w:trHeight w:val="48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Fundamental cloud architectures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Virtualization and virtual machines</w:t>
            </w:r>
            <w:r w:rsidDel="00000000" w:rsidR="00000000" w:rsidRPr="00000000">
              <w:rPr>
                <w:rtl w:val="0"/>
              </w:rPr>
            </w:r>
          </w:p>
        </w:tc>
      </w:tr>
      <w:tr>
        <w:trPr>
          <w:cantSplit w:val="0"/>
          <w:trHeight w:val="54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storage abstractions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Cloud networking</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Containerization</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Infrastructure management and scalability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Multi-tenancy and resource contention</w:t>
            </w:r>
            <w:r w:rsidDel="00000000" w:rsidR="00000000" w:rsidRPr="00000000">
              <w:rPr>
                <w:rtl w:val="0"/>
              </w:rPr>
            </w:r>
          </w:p>
        </w:tc>
      </w:tr>
      <w:tr>
        <w:trPr>
          <w:cantSplit w:val="0"/>
          <w:trHeight w:val="50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Fundamental cloud security</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Service quality metrics, SLAs</w:t>
            </w:r>
            <w:r w:rsidDel="00000000" w:rsidR="00000000" w:rsidRPr="00000000">
              <w:rPr>
                <w:rtl w:val="0"/>
              </w:rPr>
            </w:r>
          </w:p>
        </w:tc>
      </w:tr>
      <w:tr>
        <w:trPr>
          <w:cantSplit w:val="0"/>
          <w:trHeight w:val="460" w:hRule="atLeast"/>
          <w:tblHeader w:val="0"/>
        </w:trPr>
        <w:tc>
          <w:tcPr>
            <w:tcBorders>
              <w:top w:color="000000" w:space="0" w:sz="6" w:val="single"/>
              <w:left w:color="000000" w:space="0" w:sz="8" w:val="single"/>
              <w:bottom w:color="000000" w:space="0" w:sz="8" w:val="single"/>
              <w:right w:color="000000" w:space="0" w:sz="8"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Benchmarking and performance evaluation</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90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widowControl w:val="0"/>
        <w:ind w:left="720" w:right="-907" w:hanging="360"/>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pacing w:after="0" w:before="200" w:line="240" w:lineRule="auto"/>
        <w:ind w:right="-907" w:hanging="45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0">
      <w:pPr>
        <w:widowControl w:val="0"/>
        <w:spacing w:after="0" w:before="200" w:line="240" w:lineRule="auto"/>
        <w:ind w:right="-907" w:hanging="450"/>
        <w:rPr>
          <w:rFonts w:ascii="Calibri" w:cs="Calibri" w:eastAsia="Calibri" w:hAnsi="Calibri"/>
          <w:b w:val="1"/>
          <w:color w:val="000000"/>
          <w:sz w:val="24"/>
          <w:szCs w:val="24"/>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Times new roman"/>
  <w:font w:name="0"/>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0" w:cs="0" w:eastAsia="0" w:hAnsi="0"/>
      </w:rPr>
    </w:lvl>
    <w:lvl w:ilvl="1">
      <w:start w:val="1"/>
      <w:numFmt w:val="bullet"/>
      <w:lvlText w:val="◦"/>
      <w:lvlJc w:val="left"/>
      <w:pPr>
        <w:ind w:left="1080" w:hanging="360"/>
      </w:pPr>
      <w:rPr>
        <w:rFonts w:ascii="0" w:cs="0" w:eastAsia="0" w:hAnsi="0"/>
      </w:rPr>
    </w:lvl>
    <w:lvl w:ilvl="2">
      <w:start w:val="1"/>
      <w:numFmt w:val="bullet"/>
      <w:lvlText w:val="▪"/>
      <w:lvlJc w:val="left"/>
      <w:pPr>
        <w:ind w:left="1440" w:hanging="360"/>
      </w:pPr>
      <w:rPr>
        <w:rFonts w:ascii="0" w:cs="0" w:eastAsia="0" w:hAnsi="0"/>
      </w:rPr>
    </w:lvl>
    <w:lvl w:ilvl="3">
      <w:start w:val="1"/>
      <w:numFmt w:val="bullet"/>
      <w:lvlText w:val="●"/>
      <w:lvlJc w:val="left"/>
      <w:pPr>
        <w:ind w:left="1800" w:hanging="360"/>
      </w:pPr>
      <w:rPr>
        <w:rFonts w:ascii="0" w:cs="0" w:eastAsia="0" w:hAnsi="0"/>
      </w:rPr>
    </w:lvl>
    <w:lvl w:ilvl="4">
      <w:start w:val="1"/>
      <w:numFmt w:val="bullet"/>
      <w:lvlText w:val="◦"/>
      <w:lvlJc w:val="left"/>
      <w:pPr>
        <w:ind w:left="2160" w:hanging="360"/>
      </w:pPr>
      <w:rPr>
        <w:rFonts w:ascii="0" w:cs="0" w:eastAsia="0" w:hAnsi="0"/>
      </w:rPr>
    </w:lvl>
    <w:lvl w:ilvl="5">
      <w:start w:val="1"/>
      <w:numFmt w:val="bullet"/>
      <w:lvlText w:val="▪"/>
      <w:lvlJc w:val="left"/>
      <w:pPr>
        <w:ind w:left="2520" w:hanging="360"/>
      </w:pPr>
      <w:rPr>
        <w:rFonts w:ascii="0" w:cs="0" w:eastAsia="0" w:hAnsi="0"/>
      </w:rPr>
    </w:lvl>
    <w:lvl w:ilvl="6">
      <w:start w:val="1"/>
      <w:numFmt w:val="bullet"/>
      <w:lvlText w:val="●"/>
      <w:lvlJc w:val="left"/>
      <w:pPr>
        <w:ind w:left="2880" w:hanging="360"/>
      </w:pPr>
      <w:rPr>
        <w:rFonts w:ascii="0" w:cs="0" w:eastAsia="0" w:hAnsi="0"/>
      </w:rPr>
    </w:lvl>
    <w:lvl w:ilvl="7">
      <w:start w:val="1"/>
      <w:numFmt w:val="bullet"/>
      <w:lvlText w:val="◦"/>
      <w:lvlJc w:val="left"/>
      <w:pPr>
        <w:ind w:left="3240" w:hanging="360"/>
      </w:pPr>
      <w:rPr>
        <w:rFonts w:ascii="0" w:cs="0" w:eastAsia="0" w:hAnsi="0"/>
      </w:rPr>
    </w:lvl>
    <w:lvl w:ilvl="8">
      <w:start w:val="1"/>
      <w:numFmt w:val="bullet"/>
      <w:lvlText w:val="▪"/>
      <w:lvlJc w:val="left"/>
      <w:pPr>
        <w:ind w:left="3600" w:hanging="360"/>
      </w:pPr>
      <w:rPr>
        <w:rFonts w:ascii="0" w:cs="0" w:eastAsia="0" w:hAnsi="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qFormat w:val="1"/>
    <w:rsid w:val="00C064B9"/>
    <w:pPr>
      <w:widowControl w:val="1"/>
      <w:suppressAutoHyphens w:val="1"/>
      <w:bidi w:val="0"/>
      <w:spacing w:after="0" w:before="0" w:line="240" w:lineRule="auto"/>
      <w:jc w:val="left"/>
    </w:pPr>
    <w:rPr>
      <w:rFonts w:ascii="Times New Roman" w:cs="Times New Roman" w:eastAsia="Times New Roman" w:hAnsi="Times New Roman"/>
      <w:color w:val="auto"/>
      <w:kern w:val="0"/>
      <w:sz w:val="24"/>
      <w:szCs w:val="24"/>
      <w:lang w:bidi="hi-IN" w:eastAsia="zh-CN" w:val="en-US"/>
    </w:rPr>
  </w:style>
  <w:style w:type="paragraph" w:styleId="Heading1">
    <w:name w:val="Heading 1"/>
    <w:basedOn w:val="LOnormal"/>
    <w:next w:val="LOnormal"/>
    <w:qFormat w:val="1"/>
    <w:pPr>
      <w:keepNext w:val="1"/>
      <w:keepLines w:val="1"/>
      <w:pageBreakBefore w:val="0"/>
      <w:spacing w:after="120" w:before="480" w:line="240" w:lineRule="auto"/>
    </w:pPr>
    <w:rPr>
      <w:b w:val="1"/>
      <w:sz w:val="48"/>
      <w:szCs w:val="48"/>
    </w:rPr>
  </w:style>
  <w:style w:type="paragraph" w:styleId="Heading2">
    <w:name w:val="Heading 2"/>
    <w:basedOn w:val="LOnormal"/>
    <w:next w:val="LOnormal"/>
    <w:link w:val="Heading2Char"/>
    <w:uiPriority w:val="9"/>
    <w:unhideWhenUsed w:val="1"/>
    <w:qFormat w:val="1"/>
    <w:rsid w:val="00C064B9"/>
    <w:pPr>
      <w:keepNext w:val="1"/>
      <w:spacing w:after="60" w:before="240"/>
      <w:outlineLvl w:val="1"/>
    </w:pPr>
    <w:rPr>
      <w:rFonts w:ascii="Cambria" w:hAnsi="Cambria"/>
      <w:b w:val="1"/>
      <w:bCs w:val="1"/>
      <w:i w:val="1"/>
      <w:iCs w:val="1"/>
      <w:sz w:val="28"/>
      <w:szCs w:val="28"/>
    </w:rPr>
  </w:style>
  <w:style w:type="paragraph" w:styleId="Heading3">
    <w:name w:val="Heading 3"/>
    <w:basedOn w:val="LOnormal"/>
    <w:next w:val="LOnormal"/>
    <w:qFormat w:val="1"/>
    <w:pPr>
      <w:keepNext w:val="1"/>
      <w:keepLines w:val="1"/>
      <w:pageBreakBefore w:val="0"/>
      <w:spacing w:after="80" w:before="280" w:line="240" w:lineRule="auto"/>
    </w:pPr>
    <w:rPr>
      <w:b w:val="1"/>
      <w:sz w:val="28"/>
      <w:szCs w:val="28"/>
    </w:rPr>
  </w:style>
  <w:style w:type="paragraph" w:styleId="Heading4">
    <w:name w:val="Heading 4"/>
    <w:basedOn w:val="LOnormal"/>
    <w:next w:val="LOnormal"/>
    <w:qFormat w:val="1"/>
    <w:pPr>
      <w:keepNext w:val="1"/>
      <w:keepLines w:val="1"/>
      <w:pageBreakBefore w:val="0"/>
      <w:spacing w:after="40" w:before="240" w:line="240" w:lineRule="auto"/>
    </w:pPr>
    <w:rPr>
      <w:b w:val="1"/>
      <w:sz w:val="24"/>
      <w:szCs w:val="24"/>
    </w:rPr>
  </w:style>
  <w:style w:type="paragraph" w:styleId="Heading5">
    <w:name w:val="Heading 5"/>
    <w:basedOn w:val="LOnormal"/>
    <w:next w:val="LOnormal"/>
    <w:qFormat w:val="1"/>
    <w:pPr>
      <w:keepNext w:val="1"/>
      <w:keepLines w:val="1"/>
      <w:pageBreakBefore w:val="0"/>
      <w:spacing w:after="40" w:before="220" w:line="240" w:lineRule="auto"/>
    </w:pPr>
    <w:rPr>
      <w:b w:val="1"/>
      <w:sz w:val="22"/>
      <w:szCs w:val="22"/>
    </w:rPr>
  </w:style>
  <w:style w:type="paragraph" w:styleId="Heading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C064B9"/>
    <w:rPr>
      <w:rFonts w:ascii="Cambria" w:cs="Times New Roman" w:eastAsia="Times New Roman" w:hAnsi="Cambria"/>
      <w:b w:val="1"/>
      <w:bCs w:val="1"/>
      <w:i w:val="1"/>
      <w:iCs w:val="1"/>
      <w:sz w:val="28"/>
      <w:szCs w:val="28"/>
    </w:rPr>
  </w:style>
  <w:style w:type="character" w:styleId="Bullets">
    <w:name w:val="Bullets"/>
    <w:qFormat w:val="1"/>
    <w:rPr>
      <w:rFonts w:ascii="OpenSymbol" w:cs="OpenSymbol" w:eastAsia="OpenSymbol" w:hAnsi="OpenSymbol"/>
    </w:rPr>
  </w:style>
  <w:style w:type="paragraph" w:styleId="Heading">
    <w:name w:val="Heading"/>
    <w:basedOn w:val="LOnormal1"/>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LOnormal1"/>
    <w:pPr>
      <w:spacing w:after="140" w:before="0" w:line="276" w:lineRule="auto"/>
    </w:pPr>
    <w:rPr/>
  </w:style>
  <w:style w:type="paragraph" w:styleId="List">
    <w:name w:val="List"/>
    <w:basedOn w:val="TextBody"/>
    <w:pPr/>
    <w:rPr>
      <w:rFonts w:cs="Lohit Devanagari"/>
    </w:rPr>
  </w:style>
  <w:style w:type="paragraph" w:styleId="Caption">
    <w:name w:val="Caption"/>
    <w:basedOn w:val="LOnormal1"/>
    <w:qFormat w:val="1"/>
    <w:pPr>
      <w:suppressLineNumbers w:val="1"/>
      <w:spacing w:after="120" w:before="120"/>
    </w:pPr>
    <w:rPr>
      <w:rFonts w:cs="Lohit Devanagari"/>
      <w:i w:val="1"/>
      <w:iCs w:val="1"/>
      <w:sz w:val="24"/>
      <w:szCs w:val="24"/>
    </w:rPr>
  </w:style>
  <w:style w:type="paragraph" w:styleId="Index">
    <w:name w:val="Index"/>
    <w:basedOn w:val="LOnormal1"/>
    <w:qFormat w:val="1"/>
    <w:pPr>
      <w:suppressLineNumbers w:val="1"/>
    </w:pPr>
    <w:rPr>
      <w:rFonts w:cs="Lohit Devanagari"/>
    </w:rPr>
  </w:style>
  <w:style w:type="paragraph" w:styleId="LOnormal1" w:default="1">
    <w:name w:val="LO-normal1"/>
    <w:qFormat w:val="1"/>
    <w:pPr>
      <w:widowControl w:val="1"/>
      <w:suppressAutoHyphens w:val="1"/>
      <w:bidi w:val="0"/>
      <w:spacing w:after="0" w:before="0"/>
      <w:jc w:val="left"/>
    </w:pPr>
    <w:rPr>
      <w:rFonts w:ascii="Times New Roman" w:cs="Lohit Devanagari" w:eastAsia="Noto Serif CJK SC" w:hAnsi="Times New Roman"/>
      <w:color w:val="auto"/>
      <w:kern w:val="0"/>
      <w:sz w:val="24"/>
      <w:szCs w:val="24"/>
      <w:lang w:bidi="hi-IN" w:eastAsia="zh-CN" w:val="en-US"/>
    </w:rPr>
  </w:style>
  <w:style w:type="paragraph" w:styleId="Title">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1"/>
      <w:suppressAutoHyphens w:val="1"/>
      <w:bidi w:val="0"/>
      <w:spacing w:after="0" w:before="0"/>
      <w:jc w:val="left"/>
    </w:pPr>
    <w:rPr>
      <w:rFonts w:ascii="Times New Roman" w:cs="Lohit Devanagari" w:eastAsia="Noto Serif CJK SC" w:hAnsi="Times New Roman"/>
      <w:color w:val="auto"/>
      <w:kern w:val="0"/>
      <w:sz w:val="24"/>
      <w:szCs w:val="24"/>
      <w:lang w:bidi="hi-IN" w:eastAsia="zh-CN" w:val="en-US"/>
    </w:rPr>
  </w:style>
  <w:style w:type="paragraph" w:styleId="ListParagraph">
    <w:name w:val="List Paragraph"/>
    <w:basedOn w:val="LOnormal"/>
    <w:uiPriority w:val="34"/>
    <w:qFormat w:val="1"/>
    <w:rsid w:val="00C064B9"/>
    <w:pPr>
      <w:spacing w:after="0" w:before="0"/>
      <w:ind w:left="720" w:hanging="0"/>
      <w:contextualSpacing w:val="1"/>
    </w:pPr>
    <w:rPr/>
  </w:style>
  <w:style w:type="paragraph" w:styleId="Default" w:customStyle="1">
    <w:name w:val="Default"/>
    <w:qFormat w:val="1"/>
    <w:rsid w:val="00C064B9"/>
    <w:pPr>
      <w:widowControl w:val="1"/>
      <w:suppressAutoHyphens w:val="1"/>
      <w:bidi w:val="0"/>
      <w:spacing w:after="0" w:before="0" w:line="240" w:lineRule="auto"/>
      <w:jc w:val="left"/>
    </w:pPr>
    <w:rPr>
      <w:rFonts w:ascii="Garamond" w:cs="Garamond" w:eastAsia="Times New Roman" w:hAnsi="Garamond"/>
      <w:color w:val="000000"/>
      <w:kern w:val="0"/>
      <w:sz w:val="24"/>
      <w:szCs w:val="24"/>
      <w:lang w:bidi="hi-IN" w:eastAsia="zh-CN" w:val="en-US"/>
    </w:rPr>
  </w:style>
  <w:style w:type="paragraph" w:styleId="Subtitle">
    <w:name w:val="Subtitle"/>
    <w:basedOn w:val="LOnormal1"/>
    <w:next w:val="LO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1sbkheVrFU/sI50Snld4UCuS/A==">AMUW2mU6lPpQT0Nbs7Y3yNE4Yfz/JvlTDDZZuhXzq+2ApkjxUptS8HdFiQ1HJnlY8ESjoMPM9xGgjIBRBmcsdEPxmb2rJFwr1rfdLHQIzQEFn1176riR6mQT2m4nlWSJbdwiT5Ksmk/b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2021-10-13T16:06:00Z</dcterms:created>
  <dc:creator>dchinn</dc:creator>
</cp:coreProperties>
</file>