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Model Syllabus for TCSS 481</w:t>
      </w:r>
    </w:p>
    <w:p w:rsidR="00000000" w:rsidDel="00000000" w:rsidP="00000000" w:rsidRDefault="00000000" w:rsidRPr="00000000" w14:paraId="00000002">
      <w:pPr>
        <w:spacing w:after="200" w:lineRule="auto"/>
        <w:jc w:val="center"/>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(Approved: May 2022)</w:t>
        <w:br w:type="textWrapping"/>
      </w:r>
    </w:p>
    <w:p w:rsidR="00000000" w:rsidDel="00000000" w:rsidP="00000000" w:rsidRDefault="00000000" w:rsidRPr="00000000" w14:paraId="00000003">
      <w:pPr>
        <w:spacing w:after="200" w:lineRule="auto"/>
        <w:jc w:val="left"/>
        <w:rPr>
          <w:sz w:val="22"/>
          <w:szCs w:val="22"/>
        </w:rPr>
      </w:pPr>
      <w:r w:rsidDel="00000000" w:rsidR="00000000" w:rsidRPr="00000000">
        <w:rPr>
          <w:b w:val="1"/>
          <w:sz w:val="22"/>
          <w:szCs w:val="22"/>
          <w:rtl w:val="0"/>
        </w:rPr>
        <w:t xml:space="preserve">Course Title: </w:t>
      </w:r>
      <w:r w:rsidDel="00000000" w:rsidR="00000000" w:rsidRPr="00000000">
        <w:rPr>
          <w:sz w:val="22"/>
          <w:szCs w:val="22"/>
          <w:rtl w:val="0"/>
        </w:rPr>
        <w:t xml:space="preserve">Computer Security</w:t>
      </w:r>
    </w:p>
    <w:p w:rsidR="00000000" w:rsidDel="00000000" w:rsidP="00000000" w:rsidRDefault="00000000" w:rsidRPr="00000000" w14:paraId="00000004">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Catalog Description</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05">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Discusses the theoretical and practical issues surrounding computer security and data protection. Explores formal models of encryption and authentication; operating system and network security; programming and vulnerabilities analysis. Prerequisite: a minimum grade of 2.0 in TCSS 325 and in TCSS </w:t>
      </w:r>
      <w:r w:rsidDel="00000000" w:rsidR="00000000" w:rsidRPr="00000000">
        <w:rPr>
          <w:sz w:val="22"/>
          <w:szCs w:val="22"/>
          <w:rtl w:val="0"/>
        </w:rPr>
        <w:t xml:space="preserve">342</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Preconditions</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Arial" w:cs="Arial" w:eastAsia="Arial" w:hAnsi="Arial"/>
          <w:color w:val="000000"/>
          <w:sz w:val="22"/>
          <w:szCs w:val="22"/>
        </w:rPr>
      </w:pPr>
      <w:r w:rsidDel="00000000" w:rsidR="00000000" w:rsidRPr="00000000">
        <w:rPr>
          <w:rFonts w:ascii="Calibri" w:cs="Calibri" w:eastAsia="Calibri" w:hAnsi="Calibri"/>
          <w:color w:val="000000"/>
          <w:sz w:val="22"/>
          <w:szCs w:val="22"/>
          <w:rtl w:val="0"/>
        </w:rPr>
        <w:t xml:space="preserve">Identify principles of Western ethics that are embedded in or related to particular technological designs or technology policies.</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Describe some of the social, political, and economic consequences of technology use within particular contexts or cultures. </w:t>
      </w:r>
    </w:p>
    <w:p w:rsidR="00000000" w:rsidDel="00000000" w:rsidP="00000000" w:rsidRDefault="00000000" w:rsidRPr="00000000" w14:paraId="00000009">
      <w:pPr>
        <w:numPr>
          <w:ilvl w:val="0"/>
          <w:numId w:val="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Select data abstractions, structures, and implementations that a developer would use in solving </w:t>
      </w:r>
    </w:p>
    <w:p w:rsidR="00000000" w:rsidDel="00000000" w:rsidP="00000000" w:rsidRDefault="00000000" w:rsidRPr="00000000" w14:paraId="0000000A">
      <w:pPr>
        <w:ind w:left="720" w:firstLine="0"/>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larger problems and defend the appropriateness of these choices.</w:t>
      </w:r>
      <w:r w:rsidDel="00000000" w:rsidR="00000000" w:rsidRPr="00000000">
        <w:rPr>
          <w:rtl w:val="0"/>
        </w:rPr>
      </w:r>
    </w:p>
    <w:p w:rsidR="00000000" w:rsidDel="00000000" w:rsidP="00000000" w:rsidRDefault="00000000" w:rsidRPr="00000000" w14:paraId="0000000B">
      <w:pPr>
        <w:numPr>
          <w:ilvl w:val="0"/>
          <w:numId w:val="3"/>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Understand and describe the basic architecture of a modern operating system, including security and kernel-mode processing.</w:t>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Course Student Learning Goals</w:t>
      </w:r>
      <w:r w:rsidDel="00000000" w:rsidR="00000000" w:rsidRPr="00000000">
        <w:rPr>
          <w:rFonts w:ascii="Calibri" w:cs="Calibri" w:eastAsia="Calibri" w:hAnsi="Calibri"/>
          <w:color w:val="000000"/>
          <w:sz w:val="22"/>
          <w:szCs w:val="22"/>
          <w:rtl w:val="0"/>
        </w:rPr>
        <w:t xml:space="preserve"> (to be added to syllabus handed out to students)</w:t>
      </w:r>
      <w:r w:rsidDel="00000000" w:rsidR="00000000" w:rsidRPr="00000000">
        <w:rPr>
          <w:rtl w:val="0"/>
        </w:rPr>
      </w:r>
    </w:p>
    <w:p w:rsidR="00000000" w:rsidDel="00000000" w:rsidP="00000000" w:rsidRDefault="00000000" w:rsidRPr="00000000" w14:paraId="0000000E">
      <w:pPr>
        <w:numPr>
          <w:ilvl w:val="0"/>
          <w:numId w:val="4"/>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Describe the mechanisms used to provide security in programs, operating systems, and databases.</w:t>
      </w:r>
      <w:r w:rsidDel="00000000" w:rsidR="00000000" w:rsidRPr="00000000">
        <w:rPr>
          <w:rtl w:val="0"/>
        </w:rPr>
      </w:r>
    </w:p>
    <w:p w:rsidR="00000000" w:rsidDel="00000000" w:rsidP="00000000" w:rsidRDefault="00000000" w:rsidRPr="00000000" w14:paraId="0000000F">
      <w:pPr>
        <w:numPr>
          <w:ilvl w:val="0"/>
          <w:numId w:val="4"/>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Assess a given code fragment for vulnerabilities.</w:t>
      </w:r>
      <w:r w:rsidDel="00000000" w:rsidR="00000000" w:rsidRPr="00000000">
        <w:rPr>
          <w:rtl w:val="0"/>
        </w:rPr>
      </w:r>
    </w:p>
    <w:p w:rsidR="00000000" w:rsidDel="00000000" w:rsidP="00000000" w:rsidRDefault="00000000" w:rsidRPr="00000000" w14:paraId="00000010">
      <w:pPr>
        <w:numPr>
          <w:ilvl w:val="0"/>
          <w:numId w:val="4"/>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Incorporate encryption, integrity check and/or authentication into a given computer program.</w:t>
      </w:r>
      <w:r w:rsidDel="00000000" w:rsidR="00000000" w:rsidRPr="00000000">
        <w:rPr>
          <w:rtl w:val="0"/>
        </w:rPr>
      </w:r>
    </w:p>
    <w:p w:rsidR="00000000" w:rsidDel="00000000" w:rsidP="00000000" w:rsidRDefault="00000000" w:rsidRPr="00000000" w14:paraId="00000011">
      <w:pPr>
        <w:numPr>
          <w:ilvl w:val="0"/>
          <w:numId w:val="4"/>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Evaluate operating system's security and identify points of exploitation.</w:t>
      </w:r>
      <w:r w:rsidDel="00000000" w:rsidR="00000000" w:rsidRPr="00000000">
        <w:rPr>
          <w:rtl w:val="0"/>
        </w:rPr>
      </w:r>
    </w:p>
    <w:p w:rsidR="00000000" w:rsidDel="00000000" w:rsidP="00000000" w:rsidRDefault="00000000" w:rsidRPr="00000000" w14:paraId="00000012">
      <w:pPr>
        <w:numPr>
          <w:ilvl w:val="0"/>
          <w:numId w:val="4"/>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Compare different access control, file protection, and authentication mechanisms.</w:t>
      </w:r>
      <w:r w:rsidDel="00000000" w:rsidR="00000000" w:rsidRPr="00000000">
        <w:rPr>
          <w:rtl w:val="0"/>
        </w:rPr>
      </w:r>
    </w:p>
    <w:p w:rsidR="00000000" w:rsidDel="00000000" w:rsidP="00000000" w:rsidRDefault="00000000" w:rsidRPr="00000000" w14:paraId="00000013">
      <w:pPr>
        <w:numPr>
          <w:ilvl w:val="0"/>
          <w:numId w:val="4"/>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Formulate a security plan for a given scenario, including risk analysis, organizational security policies, and planning for physical security and natural disasters, and apply appropriate countermeasures to protect computer systems.</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spacing w:after="20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CSS Degree Student Learning Outcomes that this course contributes to</w:t>
      </w:r>
      <w:r w:rsidDel="00000000" w:rsidR="00000000" w:rsidRPr="00000000">
        <w:rPr>
          <w:rFonts w:ascii="Calibri" w:cs="Calibri" w:eastAsia="Calibri" w:hAnsi="Calibri"/>
          <w:color w:val="000000"/>
          <w:sz w:val="22"/>
          <w:szCs w:val="22"/>
          <w:rtl w:val="0"/>
        </w:rPr>
        <w:t xml:space="preserve"> (to be added to syllabus handed out to students). Note that the use of the term </w:t>
      </w:r>
      <w:r w:rsidDel="00000000" w:rsidR="00000000" w:rsidRPr="00000000">
        <w:rPr>
          <w:rFonts w:ascii="Calibri" w:cs="Calibri" w:eastAsia="Calibri" w:hAnsi="Calibri"/>
          <w:i w:val="1"/>
          <w:color w:val="000000"/>
          <w:sz w:val="22"/>
          <w:szCs w:val="22"/>
          <w:rtl w:val="0"/>
        </w:rPr>
        <w:t xml:space="preserve">outcome </w:t>
      </w:r>
      <w:r w:rsidDel="00000000" w:rsidR="00000000" w:rsidRPr="00000000">
        <w:rPr>
          <w:rFonts w:ascii="Calibri" w:cs="Calibri" w:eastAsia="Calibri" w:hAnsi="Calibri"/>
          <w:color w:val="000000"/>
          <w:sz w:val="22"/>
          <w:szCs w:val="22"/>
          <w:rtl w:val="0"/>
        </w:rPr>
        <w:t xml:space="preserve">here instead of </w:t>
      </w:r>
      <w:r w:rsidDel="00000000" w:rsidR="00000000" w:rsidRPr="00000000">
        <w:rPr>
          <w:rFonts w:ascii="Calibri" w:cs="Calibri" w:eastAsia="Calibri" w:hAnsi="Calibri"/>
          <w:i w:val="1"/>
          <w:color w:val="000000"/>
          <w:sz w:val="22"/>
          <w:szCs w:val="22"/>
          <w:rtl w:val="0"/>
        </w:rPr>
        <w:t xml:space="preserve">goal</w:t>
      </w:r>
      <w:r w:rsidDel="00000000" w:rsidR="00000000" w:rsidRPr="00000000">
        <w:rPr>
          <w:rFonts w:ascii="Calibri" w:cs="Calibri" w:eastAsia="Calibri" w:hAnsi="Calibri"/>
          <w:color w:val="000000"/>
          <w:sz w:val="22"/>
          <w:szCs w:val="22"/>
          <w:rtl w:val="0"/>
        </w:rPr>
        <w:t xml:space="preserve"> is simply for purposes of integration with ABET and has no other semantic import.</w:t>
      </w:r>
    </w:p>
    <w:p w:rsidR="00000000" w:rsidDel="00000000" w:rsidP="00000000" w:rsidRDefault="00000000" w:rsidRPr="00000000" w14:paraId="00000016">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A</w:t>
      </w:r>
      <w:r w:rsidDel="00000000" w:rsidR="00000000" w:rsidRPr="00000000">
        <w:rPr>
          <w:rFonts w:ascii="Calibri" w:cs="Calibri" w:eastAsia="Calibri" w:hAnsi="Calibri"/>
          <w:color w:val="000000"/>
          <w:sz w:val="22"/>
          <w:szCs w:val="22"/>
          <w:rtl w:val="0"/>
        </w:rPr>
        <w:t xml:space="preserve">:   Analyze a complex computing problem and to apply principles of computing and other relevant disciplines to identify solutions.</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B</w:t>
      </w:r>
      <w:r w:rsidDel="00000000" w:rsidR="00000000" w:rsidRPr="00000000">
        <w:rPr>
          <w:rFonts w:ascii="Calibri" w:cs="Calibri" w:eastAsia="Calibri" w:hAnsi="Calibri"/>
          <w:color w:val="000000"/>
          <w:sz w:val="22"/>
          <w:szCs w:val="22"/>
          <w:rtl w:val="0"/>
        </w:rPr>
        <w:t xml:space="preserve">:   Design, implement, and evaluate a computing-based solution to meet a given set of computing requirements in the context of the program’s discipline.</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C</w:t>
      </w:r>
      <w:r w:rsidDel="00000000" w:rsidR="00000000" w:rsidRPr="00000000">
        <w:rPr>
          <w:rFonts w:ascii="Calibri" w:cs="Calibri" w:eastAsia="Calibri" w:hAnsi="Calibri"/>
          <w:color w:val="000000"/>
          <w:sz w:val="22"/>
          <w:szCs w:val="22"/>
          <w:rtl w:val="0"/>
        </w:rPr>
        <w:t xml:space="preserve">:  Communicate effectively in a variety of professional contexts.</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E</w:t>
      </w:r>
      <w:r w:rsidDel="00000000" w:rsidR="00000000" w:rsidRPr="00000000">
        <w:rPr>
          <w:rFonts w:ascii="Calibri" w:cs="Calibri" w:eastAsia="Calibri" w:hAnsi="Calibri"/>
          <w:color w:val="000000"/>
          <w:sz w:val="22"/>
          <w:szCs w:val="22"/>
          <w:rtl w:val="0"/>
        </w:rPr>
        <w:t xml:space="preserve">:   Function effectively as a member or leader of a team engaged in activities appropriate to the program’s discipline.</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Outcome F</w:t>
      </w:r>
      <w:r w:rsidDel="00000000" w:rsidR="00000000" w:rsidRPr="00000000">
        <w:rPr>
          <w:rFonts w:ascii="Calibri" w:cs="Calibri" w:eastAsia="Calibri" w:hAnsi="Calibri"/>
          <w:color w:val="000000"/>
          <w:sz w:val="22"/>
          <w:szCs w:val="22"/>
          <w:rtl w:val="0"/>
        </w:rPr>
        <w:t xml:space="preserve">:   Apply computer science theory and software development fundamentals to produce computing based solutions.  Ability to apply knowledge of computing and mathematics appropriate to the discipline; [CS]</w:t>
      </w:r>
      <w:r w:rsidDel="00000000" w:rsidR="00000000" w:rsidRPr="00000000">
        <w:rPr>
          <w:rtl w:val="0"/>
        </w:rPr>
      </w:r>
    </w:p>
    <w:p w:rsidR="00000000" w:rsidDel="00000000" w:rsidP="00000000" w:rsidRDefault="00000000" w:rsidRPr="00000000" w14:paraId="0000001B">
      <w:pPr>
        <w:spacing w:after="2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b w:val="1"/>
          <w:color w:val="000000"/>
          <w:sz w:val="22"/>
          <w:szCs w:val="22"/>
          <w:rtl w:val="0"/>
        </w:rPr>
        <w:t xml:space="preserve">UWT Student Learning Goals that this course contributes to</w:t>
      </w:r>
      <w:r w:rsidDel="00000000" w:rsidR="00000000" w:rsidRPr="00000000">
        <w:rPr>
          <w:rFonts w:ascii="Calibri" w:cs="Calibri" w:eastAsia="Calibri" w:hAnsi="Calibri"/>
          <w:color w:val="000000"/>
          <w:sz w:val="22"/>
          <w:szCs w:val="22"/>
          <w:rtl w:val="0"/>
        </w:rPr>
        <w:t xml:space="preserve"> (to be added to syllabus handed out to students)</w:t>
      </w:r>
      <w:r w:rsidDel="00000000" w:rsidR="00000000" w:rsidRPr="00000000">
        <w:rPr>
          <w:rtl w:val="0"/>
        </w:rPr>
      </w:r>
    </w:p>
    <w:p w:rsidR="00000000" w:rsidDel="00000000" w:rsidP="00000000" w:rsidRDefault="00000000" w:rsidRPr="00000000" w14:paraId="0000001D">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i w:val="1"/>
          <w:color w:val="000000"/>
          <w:sz w:val="22"/>
          <w:szCs w:val="22"/>
          <w:rtl w:val="0"/>
        </w:rPr>
        <w:t xml:space="preserve">Global Perspective</w:t>
        <w:br w:type="textWrapping"/>
      </w:r>
      <w:r w:rsidDel="00000000" w:rsidR="00000000" w:rsidRPr="00000000">
        <w:rPr>
          <w:rFonts w:ascii="Calibri" w:cs="Calibri" w:eastAsia="Calibri" w:hAnsi="Calibri"/>
          <w:color w:val="000000"/>
          <w:sz w:val="22"/>
          <w:szCs w:val="22"/>
          <w:rtl w:val="0"/>
        </w:rPr>
        <w:t xml:space="preserve">Students will develop an awareness of the interrelationships among personal, local, and global entities, as well as gain understanding of issues of well-being and sustainability. Students will also learn about the importance of social, cultural, economic, scientific and environmental differences that mark world regions.</w:t>
      </w: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color w:val="000000"/>
        </w:rPr>
      </w:pPr>
      <w:r w:rsidDel="00000000" w:rsidR="00000000" w:rsidRPr="00000000">
        <w:rPr>
          <w:rFonts w:ascii="Calibri" w:cs="Calibri" w:eastAsia="Calibri" w:hAnsi="Calibri"/>
          <w:i w:val="1"/>
          <w:color w:val="000000"/>
          <w:sz w:val="22"/>
          <w:szCs w:val="22"/>
          <w:rtl w:val="0"/>
        </w:rPr>
        <w:t xml:space="preserve">Civic Engagement</w:t>
        <w:br w:type="textWrapping"/>
      </w:r>
      <w:r w:rsidDel="00000000" w:rsidR="00000000" w:rsidRPr="00000000">
        <w:rPr>
          <w:rFonts w:ascii="Calibri" w:cs="Calibri" w:eastAsia="Calibri" w:hAnsi="Calibri"/>
          <w:color w:val="000000"/>
          <w:sz w:val="22"/>
          <w:szCs w:val="22"/>
          <w:rtl w:val="0"/>
        </w:rPr>
        <w:t xml:space="preserve">Students will define their roles and responsibilities as members of a broader community and develop an understanding of how they can contribute to that community for the greater good. They will have opportunities for service learning and other forms of active involvement such as undergraduate research.</w:t>
      </w:r>
      <w:r w:rsidDel="00000000" w:rsidR="00000000" w:rsidRPr="00000000">
        <w:rPr>
          <w:rtl w:val="0"/>
        </w:rPr>
      </w:r>
    </w:p>
    <w:p w:rsidR="00000000" w:rsidDel="00000000" w:rsidP="00000000" w:rsidRDefault="00000000" w:rsidRPr="00000000" w14:paraId="0000001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612B3"/>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FurFjx024e+gJTTUxr0wWCgZw==">AMUW2mUIlKYH3D4lZBSt7eP77iprXfgvllG/vKwbke6oOYhBg9c8RsmDnbT1PxXmgWRW3YMUZgKiG62KzRhvf0K8iU1VElS5nyiGiOtcNQhhRtNfUO7Oik8=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2022-04-25T16:40:00Z</dcterms:created>
  <dc:creator>Anderson C. Nascimento</dc:creator>
</cp:coreProperties>
</file>