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9E6DB0A" w:rsidR="00E84811" w:rsidRDefault="0071E585" w:rsidP="0071E585">
      <w:pPr>
        <w:rPr>
          <w:rFonts w:ascii="Arial" w:eastAsia="Arial" w:hAnsi="Arial" w:cs="Arial"/>
          <w:b/>
          <w:bCs/>
          <w:color w:val="7030A0"/>
          <w:sz w:val="32"/>
          <w:szCs w:val="32"/>
        </w:rPr>
      </w:pPr>
      <w:r w:rsidRPr="292873CC">
        <w:rPr>
          <w:rFonts w:ascii="Arial" w:eastAsia="Arial" w:hAnsi="Arial" w:cs="Arial"/>
          <w:b/>
          <w:bCs/>
          <w:color w:val="7030A0"/>
          <w:sz w:val="32"/>
          <w:szCs w:val="32"/>
        </w:rPr>
        <w:t>Welcome to the Trans Health Allies 365 group/ SharePoint!</w:t>
      </w:r>
    </w:p>
    <w:p w14:paraId="3E6216CB" w14:textId="38E224FE" w:rsidR="442F8C99" w:rsidRDefault="363C84C0" w:rsidP="292873CC">
      <w:pPr>
        <w:rPr>
          <w:rFonts w:ascii="Arial" w:eastAsia="Arial" w:hAnsi="Arial" w:cs="Arial"/>
          <w:sz w:val="24"/>
          <w:szCs w:val="24"/>
        </w:rPr>
      </w:pPr>
      <w:bookmarkStart w:id="0" w:name="_GoBack"/>
      <w:bookmarkEnd w:id="0"/>
      <w:r w:rsidRPr="12FB9532">
        <w:rPr>
          <w:rFonts w:ascii="Arial" w:eastAsia="Arial" w:hAnsi="Arial" w:cs="Arial"/>
          <w:sz w:val="24"/>
          <w:szCs w:val="24"/>
        </w:rPr>
        <w:t xml:space="preserve">This site </w:t>
      </w:r>
      <w:r w:rsidR="3F72A5EE" w:rsidRPr="12FB9532">
        <w:rPr>
          <w:rFonts w:ascii="Arial" w:eastAsia="Arial" w:hAnsi="Arial" w:cs="Arial"/>
          <w:sz w:val="24"/>
          <w:szCs w:val="24"/>
        </w:rPr>
        <w:t xml:space="preserve">is </w:t>
      </w:r>
      <w:r w:rsidRPr="12FB9532">
        <w:rPr>
          <w:rFonts w:ascii="Arial" w:eastAsia="Arial" w:hAnsi="Arial" w:cs="Arial"/>
          <w:sz w:val="24"/>
          <w:szCs w:val="24"/>
        </w:rPr>
        <w:t xml:space="preserve">for medical providers who wish to learn more about primary and/or specialty care for transgender and gender non-binary patients. </w:t>
      </w:r>
    </w:p>
    <w:p w14:paraId="4CE923EA" w14:textId="15488EDB" w:rsidR="442F8C99" w:rsidRDefault="363C84C0" w:rsidP="292873CC">
      <w:pPr>
        <w:rPr>
          <w:rFonts w:ascii="Arial" w:eastAsia="Arial" w:hAnsi="Arial" w:cs="Arial"/>
          <w:color w:val="7030A0"/>
          <w:sz w:val="32"/>
          <w:szCs w:val="32"/>
        </w:rPr>
      </w:pPr>
      <w:r w:rsidRPr="292873CC">
        <w:rPr>
          <w:rFonts w:ascii="Arial" w:eastAsia="Arial" w:hAnsi="Arial" w:cs="Arial"/>
          <w:b/>
          <w:bCs/>
          <w:color w:val="7030A0"/>
          <w:sz w:val="32"/>
          <w:szCs w:val="32"/>
          <w:u w:val="single"/>
        </w:rPr>
        <w:t>Tools:</w:t>
      </w:r>
    </w:p>
    <w:p w14:paraId="7A300C40" w14:textId="194D4B07" w:rsidR="442F8C99" w:rsidRDefault="363C84C0" w:rsidP="292873CC">
      <w:pPr>
        <w:rPr>
          <w:rFonts w:ascii="Arial" w:eastAsia="Arial" w:hAnsi="Arial" w:cs="Arial"/>
          <w:sz w:val="28"/>
          <w:szCs w:val="28"/>
        </w:rPr>
      </w:pPr>
      <w:r w:rsidRPr="292873CC">
        <w:rPr>
          <w:rFonts w:ascii="Arial" w:eastAsia="Arial" w:hAnsi="Arial" w:cs="Arial"/>
          <w:b/>
          <w:bCs/>
          <w:sz w:val="28"/>
          <w:szCs w:val="28"/>
          <w:u w:val="single"/>
        </w:rPr>
        <w:t>Group email:</w:t>
      </w:r>
    </w:p>
    <w:p w14:paraId="25ADBA6B" w14:textId="6DB76DFD" w:rsidR="442F8C99" w:rsidRDefault="363C84C0" w:rsidP="292873CC">
      <w:pPr>
        <w:rPr>
          <w:rFonts w:ascii="Arial" w:eastAsia="Arial" w:hAnsi="Arial" w:cs="Arial"/>
          <w:sz w:val="24"/>
          <w:szCs w:val="24"/>
        </w:rPr>
      </w:pPr>
      <w:r w:rsidRPr="292873CC">
        <w:rPr>
          <w:rFonts w:ascii="Arial" w:eastAsia="Arial" w:hAnsi="Arial" w:cs="Arial"/>
          <w:sz w:val="24"/>
          <w:szCs w:val="24"/>
        </w:rPr>
        <w:t xml:space="preserve">Click on our group, and you will be on the group email page.  </w:t>
      </w:r>
      <w:r w:rsidRPr="292873CC">
        <w:rPr>
          <w:rFonts w:ascii="Arial" w:eastAsia="Arial" w:hAnsi="Arial" w:cs="Arial"/>
          <w:sz w:val="24"/>
          <w:szCs w:val="24"/>
          <w:u w:val="single"/>
        </w:rPr>
        <w:t>An email that you draft from here will go to all members of the group</w:t>
      </w:r>
      <w:r w:rsidRPr="292873CC">
        <w:rPr>
          <w:rFonts w:ascii="Arial" w:eastAsia="Arial" w:hAnsi="Arial" w:cs="Arial"/>
          <w:sz w:val="24"/>
          <w:szCs w:val="24"/>
        </w:rPr>
        <w:t xml:space="preserve">. The calendar, which you can click on from the group email, will have the THA Zoom meetings on them. </w:t>
      </w:r>
    </w:p>
    <w:p w14:paraId="3DF7DA81" w14:textId="342000A0" w:rsidR="442F8C99" w:rsidRDefault="363C84C0" w:rsidP="292873CC">
      <w:pPr>
        <w:ind w:left="360"/>
        <w:rPr>
          <w:rFonts w:ascii="Arial" w:eastAsia="Arial" w:hAnsi="Arial" w:cs="Arial"/>
          <w:sz w:val="24"/>
          <w:szCs w:val="24"/>
        </w:rPr>
      </w:pPr>
      <w:r w:rsidRPr="292873CC">
        <w:rPr>
          <w:rFonts w:ascii="Arial" w:eastAsia="Arial" w:hAnsi="Arial" w:cs="Arial"/>
        </w:rPr>
        <w:t xml:space="preserve">The emails you </w:t>
      </w:r>
      <w:r w:rsidRPr="292873CC">
        <w:rPr>
          <w:rFonts w:ascii="Arial" w:eastAsia="Arial" w:hAnsi="Arial" w:cs="Arial"/>
          <w:u w:val="single"/>
        </w:rPr>
        <w:t>receive</w:t>
      </w:r>
      <w:r w:rsidRPr="292873CC">
        <w:rPr>
          <w:rFonts w:ascii="Arial" w:eastAsia="Arial" w:hAnsi="Arial" w:cs="Arial"/>
        </w:rPr>
        <w:t xml:space="preserve"> can be managed through the group settings widget in the right upper corner of the email page</w:t>
      </w:r>
      <w:r w:rsidRPr="292873CC">
        <w:rPr>
          <w:rFonts w:ascii="Arial" w:eastAsia="Arial" w:hAnsi="Arial" w:cs="Arial"/>
          <w:sz w:val="24"/>
          <w:szCs w:val="24"/>
        </w:rPr>
        <w:t>:</w:t>
      </w:r>
    </w:p>
    <w:p w14:paraId="2529AACF" w14:textId="1EAF6DC5" w:rsidR="442F8C99" w:rsidRDefault="00712626" w:rsidP="292873CC">
      <w:pPr>
        <w:ind w:left="360"/>
      </w:pPr>
      <w:r>
        <w:rPr>
          <w:noProof/>
        </w:rPr>
        <w:drawing>
          <wp:inline distT="0" distB="0" distL="0" distR="0" wp14:anchorId="3B293A95" wp14:editId="312139C6">
            <wp:extent cx="5638798" cy="2562225"/>
            <wp:effectExtent l="0" t="0" r="0" b="0"/>
            <wp:docPr id="318477618" name="Picture 31847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38798" cy="2562225"/>
                    </a:xfrm>
                    <a:prstGeom prst="rect">
                      <a:avLst/>
                    </a:prstGeom>
                  </pic:spPr>
                </pic:pic>
              </a:graphicData>
            </a:graphic>
          </wp:inline>
        </w:drawing>
      </w:r>
    </w:p>
    <w:p w14:paraId="7DD9F0A8" w14:textId="22CDD6E9" w:rsidR="442F8C99" w:rsidRDefault="363C84C0" w:rsidP="292873CC">
      <w:pPr>
        <w:rPr>
          <w:rFonts w:ascii="Arial" w:eastAsia="Arial" w:hAnsi="Arial" w:cs="Arial"/>
          <w:sz w:val="28"/>
          <w:szCs w:val="28"/>
        </w:rPr>
      </w:pPr>
      <w:r w:rsidRPr="292873CC">
        <w:rPr>
          <w:rFonts w:ascii="Arial" w:eastAsia="Arial" w:hAnsi="Arial" w:cs="Arial"/>
          <w:b/>
          <w:bCs/>
          <w:sz w:val="28"/>
          <w:szCs w:val="28"/>
          <w:u w:val="single"/>
        </w:rPr>
        <w:t>SharePoint site:</w:t>
      </w:r>
    </w:p>
    <w:p w14:paraId="1B50C568" w14:textId="60956F59" w:rsidR="442F8C99" w:rsidRDefault="363C84C0" w:rsidP="292873CC">
      <w:pPr>
        <w:rPr>
          <w:rFonts w:ascii="Arial" w:eastAsia="Arial" w:hAnsi="Arial" w:cs="Arial"/>
          <w:sz w:val="24"/>
          <w:szCs w:val="24"/>
        </w:rPr>
      </w:pPr>
      <w:r w:rsidRPr="292873CC">
        <w:rPr>
          <w:rFonts w:ascii="Arial" w:eastAsia="Arial" w:hAnsi="Arial" w:cs="Arial"/>
          <w:sz w:val="24"/>
          <w:szCs w:val="24"/>
        </w:rPr>
        <w:t>To get there, start from the group email screen.  In the header you will see:</w:t>
      </w:r>
    </w:p>
    <w:p w14:paraId="63A344E5" w14:textId="08BA1069" w:rsidR="442F8C99" w:rsidRDefault="363C84C0" w:rsidP="292873CC">
      <w:pPr>
        <w:rPr>
          <w:rFonts w:ascii="Arial" w:eastAsia="Arial" w:hAnsi="Arial" w:cs="Arial"/>
        </w:rPr>
      </w:pPr>
      <w:r>
        <w:rPr>
          <w:noProof/>
        </w:rPr>
        <w:drawing>
          <wp:inline distT="0" distB="0" distL="0" distR="0" wp14:anchorId="330F205F" wp14:editId="2CC01625">
            <wp:extent cx="3848100" cy="619125"/>
            <wp:effectExtent l="0" t="0" r="0" b="0"/>
            <wp:docPr id="848615664" name="Picture 84861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48100" cy="619125"/>
                    </a:xfrm>
                    <a:prstGeom prst="rect">
                      <a:avLst/>
                    </a:prstGeom>
                  </pic:spPr>
                </pic:pic>
              </a:graphicData>
            </a:graphic>
          </wp:inline>
        </w:drawing>
      </w:r>
    </w:p>
    <w:p w14:paraId="774346E0" w14:textId="6D1DD06E" w:rsidR="442F8C99" w:rsidRDefault="363C84C0" w:rsidP="292873CC">
      <w:pPr>
        <w:rPr>
          <w:rFonts w:ascii="Arial" w:eastAsia="Arial" w:hAnsi="Arial" w:cs="Arial"/>
          <w:sz w:val="24"/>
          <w:szCs w:val="24"/>
        </w:rPr>
      </w:pPr>
      <w:r w:rsidRPr="12FB9532">
        <w:rPr>
          <w:rFonts w:ascii="Arial" w:eastAsia="Arial" w:hAnsi="Arial" w:cs="Arial"/>
          <w:sz w:val="24"/>
          <w:szCs w:val="24"/>
        </w:rPr>
        <w:t xml:space="preserve"> </w:t>
      </w:r>
      <w:r w:rsidRPr="12FB9532">
        <w:rPr>
          <w:rFonts w:ascii="Arial" w:eastAsia="Arial" w:hAnsi="Arial" w:cs="Arial"/>
          <w:sz w:val="24"/>
          <w:szCs w:val="24"/>
          <w:highlight w:val="yellow"/>
        </w:rPr>
        <w:t xml:space="preserve">Click on </w:t>
      </w:r>
      <w:proofErr w:type="gramStart"/>
      <w:r w:rsidRPr="12FB9532">
        <w:rPr>
          <w:rFonts w:ascii="Arial" w:eastAsia="Arial" w:hAnsi="Arial" w:cs="Arial"/>
          <w:sz w:val="24"/>
          <w:szCs w:val="24"/>
          <w:highlight w:val="yellow"/>
        </w:rPr>
        <w:t xml:space="preserve">the </w:t>
      </w:r>
      <w:r w:rsidR="0EE2E0DE" w:rsidRPr="12FB9532">
        <w:rPr>
          <w:rFonts w:ascii="Arial" w:eastAsia="Arial" w:hAnsi="Arial" w:cs="Arial"/>
          <w:sz w:val="24"/>
          <w:szCs w:val="24"/>
          <w:highlight w:val="yellow"/>
        </w:rPr>
        <w:t xml:space="preserve"> </w:t>
      </w:r>
      <w:r w:rsidRPr="12FB9532">
        <w:rPr>
          <w:rFonts w:ascii="Arial" w:eastAsia="Arial" w:hAnsi="Arial" w:cs="Arial"/>
          <w:b/>
          <w:bCs/>
          <w:sz w:val="24"/>
          <w:szCs w:val="24"/>
          <w:highlight w:val="yellow"/>
          <w:vertAlign w:val="superscript"/>
        </w:rPr>
        <w:t>…</w:t>
      </w:r>
      <w:proofErr w:type="gramEnd"/>
      <w:r w:rsidRPr="12FB9532">
        <w:rPr>
          <w:rFonts w:ascii="Arial" w:eastAsia="Arial" w:hAnsi="Arial" w:cs="Arial"/>
          <w:sz w:val="24"/>
          <w:szCs w:val="24"/>
          <w:highlight w:val="yellow"/>
        </w:rPr>
        <w:t xml:space="preserve"> </w:t>
      </w:r>
      <w:r w:rsidR="0BB7546F" w:rsidRPr="12FB9532">
        <w:rPr>
          <w:rFonts w:ascii="Arial" w:eastAsia="Arial" w:hAnsi="Arial" w:cs="Arial"/>
          <w:sz w:val="24"/>
          <w:szCs w:val="24"/>
          <w:highlight w:val="yellow"/>
        </w:rPr>
        <w:t xml:space="preserve"> </w:t>
      </w:r>
      <w:r w:rsidRPr="12FB9532">
        <w:rPr>
          <w:rFonts w:ascii="Arial" w:eastAsia="Arial" w:hAnsi="Arial" w:cs="Arial"/>
          <w:sz w:val="24"/>
          <w:szCs w:val="24"/>
          <w:highlight w:val="yellow"/>
        </w:rPr>
        <w:t>and then on "Site"</w:t>
      </w:r>
      <w:r w:rsidRPr="12FB9532">
        <w:rPr>
          <w:rFonts w:ascii="Arial" w:eastAsia="Arial" w:hAnsi="Arial" w:cs="Arial"/>
          <w:sz w:val="24"/>
          <w:szCs w:val="24"/>
        </w:rPr>
        <w:t>, which looks like this:</w:t>
      </w:r>
    </w:p>
    <w:p w14:paraId="3AADDC26" w14:textId="09249342" w:rsidR="442F8C99" w:rsidRDefault="363C84C0" w:rsidP="292873CC">
      <w:pPr>
        <w:rPr>
          <w:rFonts w:ascii="Arial" w:eastAsia="Arial" w:hAnsi="Arial" w:cs="Arial"/>
          <w:sz w:val="24"/>
          <w:szCs w:val="24"/>
        </w:rPr>
      </w:pPr>
      <w:r w:rsidRPr="292873CC">
        <w:rPr>
          <w:rFonts w:ascii="Arial" w:eastAsia="Arial" w:hAnsi="Arial" w:cs="Arial"/>
          <w:sz w:val="24"/>
          <w:szCs w:val="24"/>
        </w:rPr>
        <w:t xml:space="preserve"> </w:t>
      </w:r>
    </w:p>
    <w:p w14:paraId="56372F9D" w14:textId="1D956375" w:rsidR="442F8C99" w:rsidRDefault="363C84C0" w:rsidP="292873CC">
      <w:pPr>
        <w:rPr>
          <w:rFonts w:ascii="Calibri" w:eastAsia="Calibri" w:hAnsi="Calibri" w:cs="Calibri"/>
        </w:rPr>
      </w:pPr>
      <w:r>
        <w:rPr>
          <w:noProof/>
        </w:rPr>
        <w:lastRenderedPageBreak/>
        <w:drawing>
          <wp:inline distT="0" distB="0" distL="0" distR="0" wp14:anchorId="1946E32B" wp14:editId="247BFA62">
            <wp:extent cx="5943600" cy="2657475"/>
            <wp:effectExtent l="0" t="0" r="0" b="0"/>
            <wp:docPr id="1724603785" name="Picture 172460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657475"/>
                    </a:xfrm>
                    <a:prstGeom prst="rect">
                      <a:avLst/>
                    </a:prstGeom>
                  </pic:spPr>
                </pic:pic>
              </a:graphicData>
            </a:graphic>
          </wp:inline>
        </w:drawing>
      </w:r>
    </w:p>
    <w:p w14:paraId="3256B923" w14:textId="71522C0D" w:rsidR="442F8C99" w:rsidRDefault="442F8C99" w:rsidP="292873CC">
      <w:pPr>
        <w:rPr>
          <w:rFonts w:ascii="Arial" w:eastAsia="Arial" w:hAnsi="Arial" w:cs="Arial"/>
          <w:sz w:val="24"/>
          <w:szCs w:val="24"/>
        </w:rPr>
      </w:pPr>
    </w:p>
    <w:p w14:paraId="67D91ED2" w14:textId="400CE7DC" w:rsidR="442F8C99" w:rsidRDefault="363C84C0" w:rsidP="292873CC">
      <w:pPr>
        <w:rPr>
          <w:rFonts w:ascii="Segoe UI Emoji" w:eastAsia="Segoe UI Emoji" w:hAnsi="Segoe UI Emoji" w:cs="Segoe UI Emoji"/>
          <w:color w:val="7030A0"/>
          <w:sz w:val="24"/>
          <w:szCs w:val="24"/>
        </w:rPr>
      </w:pPr>
      <w:r w:rsidRPr="12FB9532">
        <w:rPr>
          <w:rFonts w:ascii="Arial" w:eastAsia="Arial" w:hAnsi="Arial" w:cs="Arial"/>
          <w:sz w:val="24"/>
          <w:szCs w:val="24"/>
        </w:rPr>
        <w:t xml:space="preserve">The middle column is </w:t>
      </w:r>
      <w:r w:rsidRPr="12FB9532">
        <w:rPr>
          <w:rFonts w:ascii="Arial" w:eastAsia="Arial" w:hAnsi="Arial" w:cs="Arial"/>
          <w:sz w:val="24"/>
          <w:szCs w:val="24"/>
          <w:highlight w:val="yellow"/>
        </w:rPr>
        <w:t>"</w:t>
      </w:r>
      <w:r w:rsidRPr="12FB9532">
        <w:rPr>
          <w:rFonts w:ascii="Arial" w:eastAsia="Arial" w:hAnsi="Arial" w:cs="Arial"/>
          <w:b/>
          <w:bCs/>
          <w:sz w:val="24"/>
          <w:szCs w:val="24"/>
          <w:highlight w:val="yellow"/>
        </w:rPr>
        <w:t>Documents</w:t>
      </w:r>
      <w:r w:rsidRPr="12FB9532">
        <w:rPr>
          <w:rFonts w:ascii="Arial" w:eastAsia="Arial" w:hAnsi="Arial" w:cs="Arial"/>
          <w:sz w:val="24"/>
          <w:szCs w:val="24"/>
          <w:highlight w:val="yellow"/>
        </w:rPr>
        <w:t>"</w:t>
      </w:r>
      <w:r w:rsidRPr="12FB9532">
        <w:rPr>
          <w:rFonts w:ascii="Arial" w:eastAsia="Arial" w:hAnsi="Arial" w:cs="Arial"/>
          <w:sz w:val="24"/>
          <w:szCs w:val="24"/>
        </w:rPr>
        <w:t xml:space="preserve">, under which are our folders of resources.  This is something we add to regularly.  If you click to the right of Documents on </w:t>
      </w:r>
      <w:r w:rsidRPr="12FB9532">
        <w:rPr>
          <w:rFonts w:ascii="Arial" w:eastAsia="Arial" w:hAnsi="Arial" w:cs="Arial"/>
          <w:b/>
          <w:bCs/>
          <w:sz w:val="24"/>
          <w:szCs w:val="24"/>
          <w:highlight w:val="yellow"/>
        </w:rPr>
        <w:t>"see all"</w:t>
      </w:r>
      <w:r w:rsidRPr="12FB9532">
        <w:rPr>
          <w:rFonts w:ascii="Arial" w:eastAsia="Arial" w:hAnsi="Arial" w:cs="Arial"/>
          <w:sz w:val="24"/>
          <w:szCs w:val="24"/>
        </w:rPr>
        <w:t xml:space="preserve"> you will see the list </w:t>
      </w:r>
      <w:r w:rsidR="6D081F82" w:rsidRPr="12FB9532">
        <w:rPr>
          <w:rFonts w:ascii="Arial" w:eastAsia="Arial" w:hAnsi="Arial" w:cs="Arial"/>
          <w:sz w:val="24"/>
          <w:szCs w:val="24"/>
        </w:rPr>
        <w:t xml:space="preserve">of documents </w:t>
      </w:r>
      <w:r w:rsidRPr="12FB9532">
        <w:rPr>
          <w:rFonts w:ascii="Arial" w:eastAsia="Arial" w:hAnsi="Arial" w:cs="Arial"/>
          <w:sz w:val="24"/>
          <w:szCs w:val="24"/>
        </w:rPr>
        <w:t>on its own page, which is much more functional.</w:t>
      </w:r>
      <w:r w:rsidR="22C99F6B" w:rsidRPr="12FB9532">
        <w:rPr>
          <w:rFonts w:ascii="Arial" w:eastAsia="Arial" w:hAnsi="Arial" w:cs="Arial"/>
          <w:sz w:val="24"/>
          <w:szCs w:val="24"/>
        </w:rPr>
        <w:t xml:space="preserve"> You’ll find </w:t>
      </w:r>
      <w:r w:rsidR="22C99F6B" w:rsidRPr="12FB9532">
        <w:rPr>
          <w:rFonts w:ascii="Arial" w:eastAsia="Arial" w:hAnsi="Arial" w:cs="Arial"/>
          <w:b/>
          <w:bCs/>
          <w:sz w:val="24"/>
          <w:szCs w:val="24"/>
        </w:rPr>
        <w:t>informed consent</w:t>
      </w:r>
      <w:r w:rsidR="5B4424F6" w:rsidRPr="12FB9532">
        <w:rPr>
          <w:rFonts w:ascii="Arial" w:eastAsia="Arial" w:hAnsi="Arial" w:cs="Arial"/>
          <w:sz w:val="24"/>
          <w:szCs w:val="24"/>
        </w:rPr>
        <w:t>,</w:t>
      </w:r>
      <w:r w:rsidR="5B4424F6" w:rsidRPr="12FB9532">
        <w:rPr>
          <w:rFonts w:ascii="Arial" w:eastAsia="Arial" w:hAnsi="Arial" w:cs="Arial"/>
          <w:b/>
          <w:bCs/>
          <w:sz w:val="24"/>
          <w:szCs w:val="24"/>
        </w:rPr>
        <w:t xml:space="preserve"> </w:t>
      </w:r>
      <w:r w:rsidR="22C99F6B" w:rsidRPr="12FB9532">
        <w:rPr>
          <w:rFonts w:ascii="Arial" w:eastAsia="Arial" w:hAnsi="Arial" w:cs="Arial"/>
          <w:b/>
          <w:bCs/>
          <w:sz w:val="24"/>
          <w:szCs w:val="24"/>
        </w:rPr>
        <w:t>surgical endorsement lette</w:t>
      </w:r>
      <w:r w:rsidR="22C99F6B" w:rsidRPr="12FB9532">
        <w:rPr>
          <w:rFonts w:ascii="Arial" w:eastAsia="Arial" w:hAnsi="Arial" w:cs="Arial"/>
          <w:sz w:val="24"/>
          <w:szCs w:val="24"/>
        </w:rPr>
        <w:t>r</w:t>
      </w:r>
      <w:r w:rsidR="52304075" w:rsidRPr="12FB9532">
        <w:rPr>
          <w:rFonts w:ascii="Arial" w:eastAsia="Arial" w:hAnsi="Arial" w:cs="Arial"/>
          <w:sz w:val="24"/>
          <w:szCs w:val="24"/>
        </w:rPr>
        <w:t>, and other legal</w:t>
      </w:r>
      <w:r w:rsidR="1E812284" w:rsidRPr="12FB9532">
        <w:rPr>
          <w:rFonts w:ascii="Arial" w:eastAsia="Arial" w:hAnsi="Arial" w:cs="Arial"/>
          <w:sz w:val="24"/>
          <w:szCs w:val="24"/>
        </w:rPr>
        <w:t>/required</w:t>
      </w:r>
      <w:r w:rsidR="52304075" w:rsidRPr="12FB9532">
        <w:rPr>
          <w:rFonts w:ascii="Arial" w:eastAsia="Arial" w:hAnsi="Arial" w:cs="Arial"/>
          <w:sz w:val="24"/>
          <w:szCs w:val="24"/>
        </w:rPr>
        <w:t xml:space="preserve"> document</w:t>
      </w:r>
      <w:r w:rsidR="1567C999" w:rsidRPr="12FB9532">
        <w:rPr>
          <w:rFonts w:ascii="Arial" w:eastAsia="Arial" w:hAnsi="Arial" w:cs="Arial"/>
          <w:sz w:val="24"/>
          <w:szCs w:val="24"/>
        </w:rPr>
        <w:t>ation</w:t>
      </w:r>
      <w:r w:rsidR="22C99F6B" w:rsidRPr="12FB9532">
        <w:rPr>
          <w:rFonts w:ascii="Arial" w:eastAsia="Arial" w:hAnsi="Arial" w:cs="Arial"/>
          <w:sz w:val="24"/>
          <w:szCs w:val="24"/>
        </w:rPr>
        <w:t xml:space="preserve"> templates in the pinned </w:t>
      </w:r>
      <w:r w:rsidR="22C99F6B" w:rsidRPr="12FB9532">
        <w:rPr>
          <w:rFonts w:ascii="Arial" w:eastAsia="Arial" w:hAnsi="Arial" w:cs="Arial"/>
          <w:b/>
          <w:bCs/>
          <w:sz w:val="24"/>
          <w:szCs w:val="24"/>
          <w:highlight w:val="yellow"/>
        </w:rPr>
        <w:t xml:space="preserve">“Read </w:t>
      </w:r>
      <w:proofErr w:type="spellStart"/>
      <w:r w:rsidR="22C99F6B" w:rsidRPr="12FB9532">
        <w:rPr>
          <w:rFonts w:ascii="Arial" w:eastAsia="Arial" w:hAnsi="Arial" w:cs="Arial"/>
          <w:b/>
          <w:bCs/>
          <w:sz w:val="24"/>
          <w:szCs w:val="24"/>
          <w:highlight w:val="yellow"/>
        </w:rPr>
        <w:t>me</w:t>
      </w:r>
      <w:proofErr w:type="spellEnd"/>
      <w:r w:rsidR="22C99F6B" w:rsidRPr="12FB9532">
        <w:rPr>
          <w:rFonts w:ascii="Arial" w:eastAsia="Arial" w:hAnsi="Arial" w:cs="Arial"/>
          <w:b/>
          <w:bCs/>
          <w:sz w:val="24"/>
          <w:szCs w:val="24"/>
          <w:highlight w:val="yellow"/>
        </w:rPr>
        <w:t xml:space="preserve"> first”</w:t>
      </w:r>
      <w:r w:rsidR="1046F3EF" w:rsidRPr="12FB9532">
        <w:rPr>
          <w:rFonts w:ascii="Arial" w:eastAsia="Arial" w:hAnsi="Arial" w:cs="Arial"/>
          <w:b/>
          <w:bCs/>
          <w:sz w:val="24"/>
          <w:szCs w:val="24"/>
        </w:rPr>
        <w:t xml:space="preserve"> </w:t>
      </w:r>
      <w:r w:rsidR="1046F3EF" w:rsidRPr="12FB9532">
        <w:rPr>
          <w:rFonts w:ascii="Arial" w:eastAsia="Arial" w:hAnsi="Arial" w:cs="Arial"/>
          <w:sz w:val="24"/>
          <w:szCs w:val="24"/>
        </w:rPr>
        <w:t>folder</w:t>
      </w:r>
      <w:r w:rsidRPr="12FB9532">
        <w:rPr>
          <w:rFonts w:ascii="Arial" w:eastAsia="Arial" w:hAnsi="Arial" w:cs="Arial"/>
          <w:sz w:val="24"/>
          <w:szCs w:val="24"/>
        </w:rPr>
        <w:t xml:space="preserve"> </w:t>
      </w:r>
      <w:r>
        <w:rPr>
          <w:noProof/>
        </w:rPr>
        <w:drawing>
          <wp:inline distT="0" distB="0" distL="0" distR="0" wp14:anchorId="1A854D3F" wp14:editId="2EA8550E">
            <wp:extent cx="4572000" cy="2505075"/>
            <wp:effectExtent l="0" t="0" r="0" b="0"/>
            <wp:docPr id="1215784337" name="Picture 121578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505075"/>
                    </a:xfrm>
                    <a:prstGeom prst="rect">
                      <a:avLst/>
                    </a:prstGeom>
                  </pic:spPr>
                </pic:pic>
              </a:graphicData>
            </a:graphic>
          </wp:inline>
        </w:drawing>
      </w:r>
      <w:r w:rsidRPr="12FB9532">
        <w:rPr>
          <w:rFonts w:ascii="Segoe UI Emoji" w:eastAsia="Segoe UI Emoji" w:hAnsi="Segoe UI Emoji" w:cs="Segoe UI Emoji"/>
          <w:b/>
          <w:bCs/>
          <w:color w:val="7030A0"/>
          <w:sz w:val="24"/>
          <w:szCs w:val="24"/>
        </w:rPr>
        <w:t>📌</w:t>
      </w:r>
    </w:p>
    <w:p w14:paraId="32F0AD1E" w14:textId="7BA93743" w:rsidR="442F8C99" w:rsidRDefault="442F8C99" w:rsidP="292873CC">
      <w:pPr>
        <w:rPr>
          <w:rFonts w:ascii="Arial" w:eastAsia="Arial" w:hAnsi="Arial" w:cs="Arial"/>
          <w:sz w:val="24"/>
          <w:szCs w:val="24"/>
        </w:rPr>
      </w:pPr>
    </w:p>
    <w:p w14:paraId="4F5B8C57" w14:textId="615CBD4E" w:rsidR="442F8C99" w:rsidRDefault="442F8C99" w:rsidP="292873CC">
      <w:pPr>
        <w:rPr>
          <w:rFonts w:ascii="Arial" w:eastAsia="Arial" w:hAnsi="Arial" w:cs="Arial"/>
          <w:sz w:val="24"/>
          <w:szCs w:val="24"/>
        </w:rPr>
      </w:pPr>
    </w:p>
    <w:p w14:paraId="5EBEADA0" w14:textId="30D13A95" w:rsidR="442F8C99" w:rsidRDefault="06A7A508" w:rsidP="12FB9532">
      <w:pPr>
        <w:rPr>
          <w:rFonts w:ascii="Arial" w:eastAsia="Arial" w:hAnsi="Arial" w:cs="Arial"/>
          <w:sz w:val="24"/>
          <w:szCs w:val="24"/>
        </w:rPr>
      </w:pPr>
      <w:r w:rsidRPr="12FB9532">
        <w:rPr>
          <w:rFonts w:ascii="Arial" w:eastAsia="Arial" w:hAnsi="Arial" w:cs="Arial"/>
          <w:sz w:val="24"/>
          <w:szCs w:val="24"/>
          <w:highlight w:val="yellow"/>
        </w:rPr>
        <w:t>Several</w:t>
      </w:r>
      <w:r w:rsidR="3E05FEE3" w:rsidRPr="12FB9532">
        <w:rPr>
          <w:rFonts w:ascii="Arial" w:eastAsia="Arial" w:hAnsi="Arial" w:cs="Arial"/>
          <w:sz w:val="24"/>
          <w:szCs w:val="24"/>
          <w:highlight w:val="yellow"/>
        </w:rPr>
        <w:t xml:space="preserve"> </w:t>
      </w:r>
      <w:r w:rsidR="363C84C0" w:rsidRPr="12FB9532">
        <w:rPr>
          <w:rFonts w:ascii="Arial" w:eastAsia="Arial" w:hAnsi="Arial" w:cs="Arial"/>
          <w:sz w:val="24"/>
          <w:szCs w:val="24"/>
          <w:highlight w:val="yellow"/>
        </w:rPr>
        <w:t xml:space="preserve">recordings </w:t>
      </w:r>
      <w:r w:rsidR="65D4C7FF" w:rsidRPr="12FB9532">
        <w:rPr>
          <w:rFonts w:ascii="Arial" w:eastAsia="Arial" w:hAnsi="Arial" w:cs="Arial"/>
          <w:sz w:val="24"/>
          <w:szCs w:val="24"/>
          <w:highlight w:val="yellow"/>
        </w:rPr>
        <w:t xml:space="preserve">have been </w:t>
      </w:r>
      <w:r w:rsidR="363C84C0" w:rsidRPr="12FB9532">
        <w:rPr>
          <w:rFonts w:ascii="Arial" w:eastAsia="Arial" w:hAnsi="Arial" w:cs="Arial"/>
          <w:sz w:val="24"/>
          <w:szCs w:val="24"/>
          <w:highlight w:val="yellow"/>
        </w:rPr>
        <w:t xml:space="preserve">posted </w:t>
      </w:r>
      <w:r w:rsidR="22A1F213" w:rsidRPr="12FB9532">
        <w:rPr>
          <w:rFonts w:ascii="Arial" w:eastAsia="Arial" w:hAnsi="Arial" w:cs="Arial"/>
          <w:sz w:val="24"/>
          <w:szCs w:val="24"/>
          <w:highlight w:val="yellow"/>
        </w:rPr>
        <w:t>from our previous</w:t>
      </w:r>
      <w:r w:rsidR="363C84C0" w:rsidRPr="12FB9532">
        <w:rPr>
          <w:rFonts w:ascii="Arial" w:eastAsia="Arial" w:hAnsi="Arial" w:cs="Arial"/>
          <w:sz w:val="24"/>
          <w:szCs w:val="24"/>
          <w:highlight w:val="yellow"/>
        </w:rPr>
        <w:t xml:space="preserve"> </w:t>
      </w:r>
      <w:proofErr w:type="gramStart"/>
      <w:r w:rsidR="363C84C0" w:rsidRPr="12FB9532">
        <w:rPr>
          <w:rFonts w:ascii="Arial" w:eastAsia="Arial" w:hAnsi="Arial" w:cs="Arial"/>
          <w:sz w:val="24"/>
          <w:szCs w:val="24"/>
          <w:highlight w:val="yellow"/>
        </w:rPr>
        <w:t>meetings,</w:t>
      </w:r>
      <w:r w:rsidR="66C3E9BC" w:rsidRPr="12FB9532">
        <w:rPr>
          <w:rFonts w:ascii="Arial" w:eastAsia="Arial" w:hAnsi="Arial" w:cs="Arial"/>
          <w:sz w:val="24"/>
          <w:szCs w:val="24"/>
          <w:highlight w:val="yellow"/>
        </w:rPr>
        <w:t xml:space="preserve"> </w:t>
      </w:r>
      <w:r w:rsidR="6F817240" w:rsidRPr="12FB9532">
        <w:rPr>
          <w:rFonts w:ascii="Arial" w:eastAsia="Arial" w:hAnsi="Arial" w:cs="Arial"/>
          <w:sz w:val="24"/>
          <w:szCs w:val="24"/>
          <w:highlight w:val="yellow"/>
        </w:rPr>
        <w:t>and</w:t>
      </w:r>
      <w:proofErr w:type="gramEnd"/>
      <w:r w:rsidR="6F817240" w:rsidRPr="12FB9532">
        <w:rPr>
          <w:rFonts w:ascii="Arial" w:eastAsia="Arial" w:hAnsi="Arial" w:cs="Arial"/>
          <w:sz w:val="24"/>
          <w:szCs w:val="24"/>
          <w:highlight w:val="yellow"/>
        </w:rPr>
        <w:t xml:space="preserve"> can be found in</w:t>
      </w:r>
      <w:r w:rsidR="363C84C0" w:rsidRPr="12FB9532">
        <w:rPr>
          <w:rFonts w:ascii="Arial" w:eastAsia="Arial" w:hAnsi="Arial" w:cs="Arial"/>
          <w:sz w:val="24"/>
          <w:szCs w:val="24"/>
          <w:highlight w:val="yellow"/>
        </w:rPr>
        <w:t xml:space="preserve"> the pinned </w:t>
      </w:r>
      <w:r w:rsidR="363C84C0" w:rsidRPr="12FB9532">
        <w:rPr>
          <w:rFonts w:ascii="Arial" w:eastAsia="Arial" w:hAnsi="Arial" w:cs="Arial"/>
          <w:b/>
          <w:bCs/>
          <w:sz w:val="24"/>
          <w:szCs w:val="24"/>
          <w:highlight w:val="yellow"/>
        </w:rPr>
        <w:t>THA Meeting Videos</w:t>
      </w:r>
      <w:r w:rsidR="41BB225F" w:rsidRPr="12FB9532">
        <w:rPr>
          <w:rFonts w:ascii="Arial" w:eastAsia="Arial" w:hAnsi="Arial" w:cs="Arial"/>
          <w:b/>
          <w:bCs/>
          <w:sz w:val="24"/>
          <w:szCs w:val="24"/>
          <w:highlight w:val="yellow"/>
        </w:rPr>
        <w:t>, slides, &amp; related articles</w:t>
      </w:r>
      <w:r w:rsidR="39EC8072" w:rsidRPr="12FB9532">
        <w:rPr>
          <w:rFonts w:ascii="Arial" w:eastAsia="Arial" w:hAnsi="Arial" w:cs="Arial"/>
          <w:b/>
          <w:bCs/>
          <w:sz w:val="24"/>
          <w:szCs w:val="24"/>
          <w:highlight w:val="yellow"/>
        </w:rPr>
        <w:t xml:space="preserve"> </w:t>
      </w:r>
      <w:r w:rsidR="39EC8072" w:rsidRPr="12FB9532">
        <w:rPr>
          <w:rFonts w:ascii="Arial" w:eastAsia="Arial" w:hAnsi="Arial" w:cs="Arial"/>
          <w:sz w:val="24"/>
          <w:szCs w:val="24"/>
          <w:highlight w:val="yellow"/>
        </w:rPr>
        <w:t>folder</w:t>
      </w:r>
      <w:r w:rsidR="363C84C0" w:rsidRPr="12FB9532">
        <w:rPr>
          <w:rFonts w:ascii="Arial" w:eastAsia="Arial" w:hAnsi="Arial" w:cs="Arial"/>
          <w:sz w:val="24"/>
          <w:szCs w:val="24"/>
          <w:highlight w:val="yellow"/>
        </w:rPr>
        <w:t>.</w:t>
      </w:r>
      <w:r w:rsidR="363C84C0" w:rsidRPr="12FB9532">
        <w:rPr>
          <w:rFonts w:ascii="Arial" w:eastAsia="Arial" w:hAnsi="Arial" w:cs="Arial"/>
          <w:sz w:val="24"/>
          <w:szCs w:val="24"/>
        </w:rPr>
        <w:t xml:space="preserve">  </w:t>
      </w:r>
    </w:p>
    <w:p w14:paraId="687F73E0" w14:textId="245882B9" w:rsidR="442F8C99" w:rsidRDefault="363C84C0" w:rsidP="292873CC">
      <w:pPr>
        <w:rPr>
          <w:rFonts w:ascii="Arial" w:eastAsia="Arial" w:hAnsi="Arial" w:cs="Arial"/>
          <w:sz w:val="24"/>
          <w:szCs w:val="24"/>
        </w:rPr>
      </w:pPr>
      <w:r w:rsidRPr="12FB9532">
        <w:rPr>
          <w:rFonts w:ascii="Arial" w:eastAsia="Arial" w:hAnsi="Arial" w:cs="Arial"/>
          <w:b/>
          <w:bCs/>
          <w:sz w:val="28"/>
          <w:szCs w:val="28"/>
          <w:u w:val="single"/>
        </w:rPr>
        <w:t>Other folders</w:t>
      </w:r>
      <w:r w:rsidRPr="12FB9532">
        <w:rPr>
          <w:rFonts w:ascii="Arial" w:eastAsia="Arial" w:hAnsi="Arial" w:cs="Arial"/>
          <w:b/>
          <w:bCs/>
          <w:sz w:val="28"/>
          <w:szCs w:val="28"/>
        </w:rPr>
        <w:t xml:space="preserve"> </w:t>
      </w:r>
      <w:r w:rsidRPr="12FB9532">
        <w:rPr>
          <w:rFonts w:ascii="Arial" w:eastAsia="Arial" w:hAnsi="Arial" w:cs="Arial"/>
          <w:sz w:val="24"/>
          <w:szCs w:val="24"/>
        </w:rPr>
        <w:t>(these are not pinned):</w:t>
      </w:r>
      <w:r w:rsidRPr="12FB9532">
        <w:rPr>
          <w:rFonts w:ascii="Arial" w:eastAsia="Arial" w:hAnsi="Arial" w:cs="Arial"/>
          <w:b/>
          <w:bCs/>
          <w:sz w:val="24"/>
          <w:szCs w:val="24"/>
        </w:rPr>
        <w:t xml:space="preserve"> </w:t>
      </w:r>
      <w:r w:rsidRPr="12FB9532">
        <w:rPr>
          <w:rFonts w:ascii="Arial" w:eastAsia="Arial" w:hAnsi="Arial" w:cs="Arial"/>
          <w:sz w:val="24"/>
          <w:szCs w:val="24"/>
        </w:rPr>
        <w:t>for managing articles, patient education resources &amp; other documents.</w:t>
      </w:r>
    </w:p>
    <w:p w14:paraId="1CE69654" w14:textId="41044307" w:rsidR="363C84C0" w:rsidRDefault="363C84C0" w:rsidP="12FB9532">
      <w:pPr>
        <w:pStyle w:val="ListParagraph"/>
        <w:numPr>
          <w:ilvl w:val="0"/>
          <w:numId w:val="1"/>
        </w:numPr>
        <w:rPr>
          <w:rFonts w:eastAsiaTheme="minorEastAsia"/>
          <w:sz w:val="24"/>
          <w:szCs w:val="24"/>
        </w:rPr>
      </w:pPr>
      <w:r w:rsidRPr="12FB9532">
        <w:rPr>
          <w:rFonts w:ascii="Arial" w:eastAsia="Arial" w:hAnsi="Arial" w:cs="Arial"/>
          <w:sz w:val="24"/>
          <w:szCs w:val="24"/>
        </w:rPr>
        <w:lastRenderedPageBreak/>
        <w:t xml:space="preserve">There will be some </w:t>
      </w:r>
      <w:r w:rsidRPr="12FB9532">
        <w:rPr>
          <w:rFonts w:ascii="Arial" w:eastAsia="Arial" w:hAnsi="Arial" w:cs="Arial"/>
          <w:b/>
          <w:bCs/>
          <w:sz w:val="24"/>
          <w:szCs w:val="24"/>
        </w:rPr>
        <w:t>redundancy within the folders,</w:t>
      </w:r>
      <w:r w:rsidRPr="12FB9532">
        <w:rPr>
          <w:rFonts w:ascii="Arial" w:eastAsia="Arial" w:hAnsi="Arial" w:cs="Arial"/>
          <w:sz w:val="24"/>
          <w:szCs w:val="24"/>
        </w:rPr>
        <w:t xml:space="preserve"> to provide a tailored experience depending on your specialty and focus.  For instance, the patient education sheet on contraception will be in the primary care, gynecology and patient education folders.  Gender affirming hormone management applies to many different specialties, so that will have </w:t>
      </w:r>
      <w:proofErr w:type="spellStart"/>
      <w:proofErr w:type="gramStart"/>
      <w:r w:rsidRPr="12FB9532">
        <w:rPr>
          <w:rFonts w:ascii="Arial" w:eastAsia="Arial" w:hAnsi="Arial" w:cs="Arial"/>
          <w:sz w:val="24"/>
          <w:szCs w:val="24"/>
        </w:rPr>
        <w:t>it</w:t>
      </w:r>
      <w:r w:rsidR="4B332E8E" w:rsidRPr="12FB9532">
        <w:rPr>
          <w:rFonts w:ascii="Arial" w:eastAsia="Arial" w:hAnsi="Arial" w:cs="Arial"/>
          <w:sz w:val="24"/>
          <w:szCs w:val="24"/>
        </w:rPr>
        <w:t>’s</w:t>
      </w:r>
      <w:proofErr w:type="spellEnd"/>
      <w:proofErr w:type="gramEnd"/>
      <w:r w:rsidRPr="12FB9532">
        <w:rPr>
          <w:rFonts w:ascii="Arial" w:eastAsia="Arial" w:hAnsi="Arial" w:cs="Arial"/>
          <w:sz w:val="24"/>
          <w:szCs w:val="24"/>
        </w:rPr>
        <w:t xml:space="preserve"> own first tier folder.  If you have suggestions on how you would like the site organized, let us know and we will consider it in the larger picture. </w:t>
      </w:r>
    </w:p>
    <w:p w14:paraId="336CAEA7" w14:textId="60EC2287" w:rsidR="442F8C99" w:rsidRDefault="363C84C0" w:rsidP="292873CC">
      <w:pPr>
        <w:pStyle w:val="ListParagraph"/>
        <w:numPr>
          <w:ilvl w:val="0"/>
          <w:numId w:val="1"/>
        </w:numPr>
        <w:rPr>
          <w:rFonts w:eastAsiaTheme="minorEastAsia"/>
          <w:b/>
          <w:bCs/>
          <w:sz w:val="24"/>
          <w:szCs w:val="24"/>
        </w:rPr>
      </w:pPr>
      <w:r w:rsidRPr="292873CC">
        <w:rPr>
          <w:rFonts w:ascii="Arial" w:eastAsia="Arial" w:hAnsi="Arial" w:cs="Arial"/>
          <w:b/>
          <w:bCs/>
          <w:sz w:val="24"/>
          <w:szCs w:val="24"/>
        </w:rPr>
        <w:t>Procedures</w:t>
      </w:r>
      <w:r w:rsidRPr="292873CC">
        <w:rPr>
          <w:rFonts w:ascii="Arial" w:eastAsia="Arial" w:hAnsi="Arial" w:cs="Arial"/>
          <w:sz w:val="24"/>
          <w:szCs w:val="24"/>
        </w:rPr>
        <w:t xml:space="preserve"> will be under their respective specialties, at least for now; </w:t>
      </w:r>
      <w:proofErr w:type="gramStart"/>
      <w:r w:rsidRPr="292873CC">
        <w:rPr>
          <w:rFonts w:ascii="Arial" w:eastAsia="Arial" w:hAnsi="Arial" w:cs="Arial"/>
          <w:sz w:val="24"/>
          <w:szCs w:val="24"/>
        </w:rPr>
        <w:t>at a later date</w:t>
      </w:r>
      <w:proofErr w:type="gramEnd"/>
      <w:r w:rsidRPr="292873CC">
        <w:rPr>
          <w:rFonts w:ascii="Arial" w:eastAsia="Arial" w:hAnsi="Arial" w:cs="Arial"/>
          <w:sz w:val="24"/>
          <w:szCs w:val="24"/>
        </w:rPr>
        <w:t xml:space="preserve">, some of these may involve more than one specialty and require a different approach. </w:t>
      </w:r>
    </w:p>
    <w:p w14:paraId="7A9B1641" w14:textId="09529EC6" w:rsidR="442F8C99" w:rsidRDefault="363C84C0" w:rsidP="292873CC">
      <w:pPr>
        <w:pStyle w:val="ListParagraph"/>
        <w:numPr>
          <w:ilvl w:val="0"/>
          <w:numId w:val="1"/>
        </w:numPr>
        <w:rPr>
          <w:rFonts w:eastAsiaTheme="minorEastAsia"/>
          <w:b/>
          <w:bCs/>
          <w:sz w:val="24"/>
          <w:szCs w:val="24"/>
        </w:rPr>
      </w:pPr>
      <w:r w:rsidRPr="292873CC">
        <w:rPr>
          <w:rFonts w:ascii="Arial" w:eastAsia="Arial" w:hAnsi="Arial" w:cs="Arial"/>
          <w:b/>
          <w:bCs/>
          <w:sz w:val="24"/>
          <w:szCs w:val="24"/>
        </w:rPr>
        <w:t>If you wish to add an article or resource</w:t>
      </w:r>
      <w:r w:rsidRPr="292873CC">
        <w:rPr>
          <w:rFonts w:ascii="Arial" w:eastAsia="Arial" w:hAnsi="Arial" w:cs="Arial"/>
          <w:sz w:val="24"/>
          <w:szCs w:val="24"/>
        </w:rPr>
        <w:t>, please ping the health program coordinator or Corinne so we know it is on the site</w:t>
      </w:r>
    </w:p>
    <w:p w14:paraId="32333484" w14:textId="7B2EA688" w:rsidR="442F8C99" w:rsidRDefault="442F8C99" w:rsidP="292873CC">
      <w:pPr>
        <w:rPr>
          <w:rFonts w:ascii="Arial" w:eastAsia="Arial" w:hAnsi="Arial" w:cs="Arial"/>
          <w:sz w:val="24"/>
          <w:szCs w:val="24"/>
        </w:rPr>
      </w:pPr>
    </w:p>
    <w:p w14:paraId="72DD954E" w14:textId="4784C308" w:rsidR="442F8C99" w:rsidRDefault="363C84C0" w:rsidP="12FB9532">
      <w:pPr>
        <w:rPr>
          <w:rFonts w:ascii="Arial" w:eastAsia="Arial" w:hAnsi="Arial" w:cs="Arial"/>
          <w:sz w:val="24"/>
          <w:szCs w:val="24"/>
        </w:rPr>
      </w:pPr>
      <w:r w:rsidRPr="12FB9532">
        <w:rPr>
          <w:rFonts w:ascii="Arial" w:eastAsia="Arial" w:hAnsi="Arial" w:cs="Arial"/>
          <w:sz w:val="24"/>
          <w:szCs w:val="24"/>
        </w:rPr>
        <w:t xml:space="preserve">Here are a couple of other talks about the approach to the patient when providing clinical care to gender diverse </w:t>
      </w:r>
      <w:r w:rsidR="312139C6" w:rsidRPr="12FB9532">
        <w:rPr>
          <w:rFonts w:ascii="Arial" w:eastAsia="Arial" w:hAnsi="Arial" w:cs="Arial"/>
          <w:sz w:val="24"/>
          <w:szCs w:val="24"/>
        </w:rPr>
        <w:t xml:space="preserve">patients </w:t>
      </w:r>
      <w:r w:rsidRPr="12FB9532">
        <w:rPr>
          <w:rFonts w:ascii="Arial" w:eastAsia="Arial" w:hAnsi="Arial" w:cs="Arial"/>
          <w:sz w:val="24"/>
          <w:szCs w:val="24"/>
        </w:rPr>
        <w:t>on YouTube</w:t>
      </w:r>
      <w:r w:rsidR="40B712CB" w:rsidRPr="12FB9532">
        <w:rPr>
          <w:rFonts w:ascii="Arial" w:eastAsia="Arial" w:hAnsi="Arial" w:cs="Arial"/>
          <w:sz w:val="24"/>
          <w:szCs w:val="24"/>
        </w:rPr>
        <w:t xml:space="preserve">. </w:t>
      </w:r>
      <w:r w:rsidRPr="12FB9532">
        <w:rPr>
          <w:rFonts w:ascii="Arial" w:eastAsia="Arial" w:hAnsi="Arial" w:cs="Arial"/>
          <w:sz w:val="24"/>
          <w:szCs w:val="24"/>
        </w:rPr>
        <w:t xml:space="preserve"> </w:t>
      </w:r>
      <w:r w:rsidR="3294D8F0" w:rsidRPr="12FB9532">
        <w:rPr>
          <w:rFonts w:ascii="Arial" w:eastAsia="Arial" w:hAnsi="Arial" w:cs="Arial"/>
          <w:sz w:val="24"/>
          <w:szCs w:val="24"/>
        </w:rPr>
        <w:t>F</w:t>
      </w:r>
      <w:r w:rsidRPr="12FB9532">
        <w:rPr>
          <w:rFonts w:ascii="Arial" w:eastAsia="Arial" w:hAnsi="Arial" w:cs="Arial"/>
          <w:sz w:val="24"/>
          <w:szCs w:val="24"/>
        </w:rPr>
        <w:t xml:space="preserve">or context, these were for a QI project CH was doing for Ryan White HIV clinics. </w:t>
      </w:r>
    </w:p>
    <w:p w14:paraId="587BCE33" w14:textId="0F670BFB" w:rsidR="442F8C99" w:rsidRDefault="363C84C0" w:rsidP="12FB9532">
      <w:pPr>
        <w:rPr>
          <w:rFonts w:ascii="Arial" w:eastAsia="Arial" w:hAnsi="Arial" w:cs="Arial"/>
          <w:sz w:val="24"/>
          <w:szCs w:val="24"/>
        </w:rPr>
      </w:pPr>
      <w:r w:rsidRPr="12FB9532">
        <w:rPr>
          <w:rFonts w:ascii="Arial" w:eastAsia="Arial" w:hAnsi="Arial" w:cs="Arial"/>
          <w:sz w:val="24"/>
          <w:szCs w:val="24"/>
        </w:rPr>
        <w:t>10 minutes: Approach to care</w:t>
      </w:r>
    </w:p>
    <w:p w14:paraId="7F6D9182" w14:textId="676A71F1" w:rsidR="442F8C99" w:rsidRDefault="00A70185" w:rsidP="12FB9532">
      <w:pPr>
        <w:rPr>
          <w:rFonts w:ascii="Arial" w:eastAsia="Arial" w:hAnsi="Arial" w:cs="Arial"/>
          <w:sz w:val="24"/>
          <w:szCs w:val="24"/>
        </w:rPr>
      </w:pPr>
      <w:hyperlink r:id="rId12">
        <w:r w:rsidR="363C84C0" w:rsidRPr="12FB9532">
          <w:rPr>
            <w:rStyle w:val="Hyperlink"/>
            <w:rFonts w:ascii="Arial" w:eastAsia="Arial" w:hAnsi="Arial" w:cs="Arial"/>
            <w:color w:val="0563C1"/>
            <w:sz w:val="24"/>
            <w:szCs w:val="24"/>
          </w:rPr>
          <w:t>https://www.youtube.com/watch?v=X4nYgAZvE5I&amp;feature=youtu.be</w:t>
        </w:r>
      </w:hyperlink>
      <w:r w:rsidR="363C84C0" w:rsidRPr="12FB9532">
        <w:rPr>
          <w:rFonts w:ascii="Arial" w:eastAsia="Arial" w:hAnsi="Arial" w:cs="Arial"/>
          <w:sz w:val="24"/>
          <w:szCs w:val="24"/>
        </w:rPr>
        <w:t xml:space="preserve"> </w:t>
      </w:r>
      <w:r w:rsidR="442F8C99">
        <w:br/>
      </w:r>
    </w:p>
    <w:p w14:paraId="0D11F0CE" w14:textId="6DC88C94" w:rsidR="442F8C99" w:rsidRDefault="363C84C0" w:rsidP="12FB9532">
      <w:pPr>
        <w:rPr>
          <w:rFonts w:ascii="Arial" w:eastAsia="Arial" w:hAnsi="Arial" w:cs="Arial"/>
          <w:sz w:val="24"/>
          <w:szCs w:val="24"/>
        </w:rPr>
      </w:pPr>
      <w:r w:rsidRPr="12FB9532">
        <w:rPr>
          <w:rFonts w:ascii="Arial" w:eastAsia="Arial" w:hAnsi="Arial" w:cs="Arial"/>
          <w:sz w:val="24"/>
          <w:szCs w:val="24"/>
        </w:rPr>
        <w:t xml:space="preserve">~50 minutes: Trauma Informed Care-1 </w:t>
      </w:r>
    </w:p>
    <w:p w14:paraId="6F1F15A0" w14:textId="0D76523C" w:rsidR="442F8C99" w:rsidRDefault="00A70185" w:rsidP="12FB9532">
      <w:pPr>
        <w:rPr>
          <w:rFonts w:ascii="Arial" w:eastAsia="Arial" w:hAnsi="Arial" w:cs="Arial"/>
          <w:sz w:val="24"/>
          <w:szCs w:val="24"/>
        </w:rPr>
      </w:pPr>
      <w:hyperlink r:id="rId13">
        <w:r w:rsidR="363C84C0" w:rsidRPr="12FB9532">
          <w:rPr>
            <w:rStyle w:val="Hyperlink"/>
            <w:rFonts w:ascii="Arial" w:eastAsia="Arial" w:hAnsi="Arial" w:cs="Arial"/>
            <w:color w:val="0563C1"/>
            <w:sz w:val="24"/>
            <w:szCs w:val="24"/>
          </w:rPr>
          <w:t>https://www.youtube.com/watch?v=vhXztF2suYY&amp;feature=youtu.be</w:t>
        </w:r>
      </w:hyperlink>
      <w:r w:rsidR="363C84C0" w:rsidRPr="12FB9532">
        <w:rPr>
          <w:rFonts w:ascii="Arial" w:eastAsia="Arial" w:hAnsi="Arial" w:cs="Arial"/>
          <w:sz w:val="24"/>
          <w:szCs w:val="24"/>
        </w:rPr>
        <w:t xml:space="preserve"> </w:t>
      </w:r>
      <w:r w:rsidR="442F8C99">
        <w:br/>
      </w:r>
    </w:p>
    <w:p w14:paraId="1F1F812C" w14:textId="4E8DBD8B" w:rsidR="442F8C99" w:rsidRDefault="363C84C0" w:rsidP="12FB9532">
      <w:pPr>
        <w:rPr>
          <w:rFonts w:ascii="Arial" w:eastAsia="Arial" w:hAnsi="Arial" w:cs="Arial"/>
          <w:sz w:val="24"/>
          <w:szCs w:val="24"/>
        </w:rPr>
      </w:pPr>
      <w:r w:rsidRPr="12FB9532">
        <w:rPr>
          <w:rFonts w:ascii="Arial" w:eastAsia="Arial" w:hAnsi="Arial" w:cs="Arial"/>
          <w:sz w:val="24"/>
          <w:szCs w:val="24"/>
        </w:rPr>
        <w:t xml:space="preserve">~50 minutes: Trauma Informed Care - 2 </w:t>
      </w:r>
    </w:p>
    <w:p w14:paraId="71A980B1" w14:textId="0624B7E5" w:rsidR="442F8C99" w:rsidRDefault="00A70185" w:rsidP="12FB9532">
      <w:pPr>
        <w:rPr>
          <w:rFonts w:ascii="Arial" w:eastAsia="Arial" w:hAnsi="Arial" w:cs="Arial"/>
          <w:sz w:val="24"/>
          <w:szCs w:val="24"/>
        </w:rPr>
      </w:pPr>
      <w:hyperlink r:id="rId14">
        <w:r w:rsidR="363C84C0" w:rsidRPr="12FB9532">
          <w:rPr>
            <w:rStyle w:val="Hyperlink"/>
            <w:rFonts w:ascii="Arial" w:eastAsia="Arial" w:hAnsi="Arial" w:cs="Arial"/>
            <w:color w:val="0563C1"/>
            <w:sz w:val="24"/>
            <w:szCs w:val="24"/>
          </w:rPr>
          <w:t>https://www.youtube.com/watch?v=OPP56HnRCdE&amp;feature=youtu.be</w:t>
        </w:r>
      </w:hyperlink>
    </w:p>
    <w:p w14:paraId="0BD9F40B" w14:textId="1CA54BCE" w:rsidR="442F8C99" w:rsidRDefault="442F8C99" w:rsidP="292873CC">
      <w:pPr>
        <w:rPr>
          <w:rFonts w:ascii="Arial" w:eastAsia="Arial" w:hAnsi="Arial" w:cs="Arial"/>
          <w:sz w:val="24"/>
          <w:szCs w:val="24"/>
        </w:rPr>
      </w:pPr>
    </w:p>
    <w:p w14:paraId="2FE82CD7" w14:textId="1B43616F" w:rsidR="442F8C99" w:rsidRDefault="363C84C0" w:rsidP="292873CC">
      <w:pPr>
        <w:rPr>
          <w:rFonts w:ascii="Arial" w:eastAsia="Arial" w:hAnsi="Arial" w:cs="Arial"/>
          <w:sz w:val="24"/>
          <w:szCs w:val="24"/>
        </w:rPr>
      </w:pPr>
      <w:r w:rsidRPr="292873CC">
        <w:rPr>
          <w:rFonts w:ascii="Arial" w:eastAsia="Arial" w:hAnsi="Arial" w:cs="Arial"/>
          <w:sz w:val="24"/>
          <w:szCs w:val="24"/>
        </w:rPr>
        <w:t xml:space="preserve">Cheers, </w:t>
      </w:r>
    </w:p>
    <w:p w14:paraId="32CFAAF5" w14:textId="122B8FC5" w:rsidR="442F8C99" w:rsidRDefault="363C84C0" w:rsidP="292873CC">
      <w:pPr>
        <w:rPr>
          <w:rFonts w:ascii="Arial" w:eastAsia="Arial" w:hAnsi="Arial" w:cs="Arial"/>
          <w:sz w:val="24"/>
          <w:szCs w:val="24"/>
        </w:rPr>
      </w:pPr>
      <w:r w:rsidRPr="292873CC">
        <w:rPr>
          <w:rFonts w:ascii="Arial" w:eastAsia="Arial" w:hAnsi="Arial" w:cs="Arial"/>
          <w:sz w:val="24"/>
          <w:szCs w:val="24"/>
        </w:rPr>
        <w:t>Your UW Medicine Transgender and Gender Non-Binary Health Program team</w:t>
      </w:r>
    </w:p>
    <w:p w14:paraId="4A60542F" w14:textId="72F15F14" w:rsidR="442F8C99" w:rsidRDefault="363C84C0" w:rsidP="292873CC">
      <w:pPr>
        <w:rPr>
          <w:rFonts w:ascii="Arial" w:eastAsia="Arial" w:hAnsi="Arial" w:cs="Arial"/>
          <w:sz w:val="24"/>
          <w:szCs w:val="24"/>
        </w:rPr>
      </w:pPr>
      <w:r w:rsidRPr="292873CC">
        <w:rPr>
          <w:rFonts w:ascii="Arial" w:eastAsia="Arial" w:hAnsi="Arial" w:cs="Arial"/>
          <w:sz w:val="24"/>
          <w:szCs w:val="24"/>
        </w:rPr>
        <w:t>Sean Johnson, LSWAIC, MSW, MPH – TGNB Health Program Coordinator</w:t>
      </w:r>
    </w:p>
    <w:p w14:paraId="52A75A9F" w14:textId="64CEC23A" w:rsidR="442F8C99" w:rsidRDefault="363C84C0" w:rsidP="292873CC">
      <w:pPr>
        <w:rPr>
          <w:rFonts w:ascii="Arial" w:eastAsia="Arial" w:hAnsi="Arial" w:cs="Arial"/>
          <w:sz w:val="24"/>
          <w:szCs w:val="24"/>
        </w:rPr>
      </w:pPr>
      <w:r w:rsidRPr="292873CC">
        <w:rPr>
          <w:rFonts w:ascii="Arial" w:eastAsia="Arial" w:hAnsi="Arial" w:cs="Arial"/>
          <w:sz w:val="24"/>
          <w:szCs w:val="24"/>
        </w:rPr>
        <w:t>Corinne Heinen, MD, FAAFP – TGNB Health Program Physician Lead</w:t>
      </w:r>
    </w:p>
    <w:p w14:paraId="238F14EC" w14:textId="02094F83" w:rsidR="442F8C99" w:rsidRDefault="442F8C99" w:rsidP="292873CC">
      <w:pPr>
        <w:rPr>
          <w:rFonts w:ascii="Arial" w:eastAsia="Arial" w:hAnsi="Arial" w:cs="Arial"/>
          <w:sz w:val="24"/>
          <w:szCs w:val="24"/>
        </w:rPr>
      </w:pPr>
    </w:p>
    <w:p w14:paraId="53451237" w14:textId="455D01D4" w:rsidR="442F8C99" w:rsidRDefault="442F8C99" w:rsidP="37863C8E">
      <w:pPr>
        <w:rPr>
          <w:rFonts w:ascii="Arial" w:eastAsia="Arial" w:hAnsi="Arial" w:cs="Arial"/>
          <w:sz w:val="24"/>
          <w:szCs w:val="24"/>
        </w:rPr>
      </w:pPr>
    </w:p>
    <w:sectPr w:rsidR="442F8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B7530"/>
    <w:multiLevelType w:val="hybridMultilevel"/>
    <w:tmpl w:val="26E45B86"/>
    <w:lvl w:ilvl="0" w:tplc="9DAEA704">
      <w:start w:val="1"/>
      <w:numFmt w:val="bullet"/>
      <w:lvlText w:val=""/>
      <w:lvlJc w:val="left"/>
      <w:pPr>
        <w:ind w:left="720" w:hanging="360"/>
      </w:pPr>
      <w:rPr>
        <w:rFonts w:ascii="Symbol" w:hAnsi="Symbol" w:hint="default"/>
      </w:rPr>
    </w:lvl>
    <w:lvl w:ilvl="1" w:tplc="B0CCFD5A">
      <w:start w:val="1"/>
      <w:numFmt w:val="bullet"/>
      <w:lvlText w:val="o"/>
      <w:lvlJc w:val="left"/>
      <w:pPr>
        <w:ind w:left="1440" w:hanging="360"/>
      </w:pPr>
      <w:rPr>
        <w:rFonts w:ascii="Courier New" w:hAnsi="Courier New" w:hint="default"/>
      </w:rPr>
    </w:lvl>
    <w:lvl w:ilvl="2" w:tplc="297CF2A6">
      <w:start w:val="1"/>
      <w:numFmt w:val="bullet"/>
      <w:lvlText w:val=""/>
      <w:lvlJc w:val="left"/>
      <w:pPr>
        <w:ind w:left="2160" w:hanging="360"/>
      </w:pPr>
      <w:rPr>
        <w:rFonts w:ascii="Wingdings" w:hAnsi="Wingdings" w:hint="default"/>
      </w:rPr>
    </w:lvl>
    <w:lvl w:ilvl="3" w:tplc="7A7C78C8">
      <w:start w:val="1"/>
      <w:numFmt w:val="bullet"/>
      <w:lvlText w:val=""/>
      <w:lvlJc w:val="left"/>
      <w:pPr>
        <w:ind w:left="2880" w:hanging="360"/>
      </w:pPr>
      <w:rPr>
        <w:rFonts w:ascii="Symbol" w:hAnsi="Symbol" w:hint="default"/>
      </w:rPr>
    </w:lvl>
    <w:lvl w:ilvl="4" w:tplc="02281AF0">
      <w:start w:val="1"/>
      <w:numFmt w:val="bullet"/>
      <w:lvlText w:val="o"/>
      <w:lvlJc w:val="left"/>
      <w:pPr>
        <w:ind w:left="3600" w:hanging="360"/>
      </w:pPr>
      <w:rPr>
        <w:rFonts w:ascii="Courier New" w:hAnsi="Courier New" w:hint="default"/>
      </w:rPr>
    </w:lvl>
    <w:lvl w:ilvl="5" w:tplc="EBE8A79E">
      <w:start w:val="1"/>
      <w:numFmt w:val="bullet"/>
      <w:lvlText w:val=""/>
      <w:lvlJc w:val="left"/>
      <w:pPr>
        <w:ind w:left="4320" w:hanging="360"/>
      </w:pPr>
      <w:rPr>
        <w:rFonts w:ascii="Wingdings" w:hAnsi="Wingdings" w:hint="default"/>
      </w:rPr>
    </w:lvl>
    <w:lvl w:ilvl="6" w:tplc="D65C18FA">
      <w:start w:val="1"/>
      <w:numFmt w:val="bullet"/>
      <w:lvlText w:val=""/>
      <w:lvlJc w:val="left"/>
      <w:pPr>
        <w:ind w:left="5040" w:hanging="360"/>
      </w:pPr>
      <w:rPr>
        <w:rFonts w:ascii="Symbol" w:hAnsi="Symbol" w:hint="default"/>
      </w:rPr>
    </w:lvl>
    <w:lvl w:ilvl="7" w:tplc="A62C7D76">
      <w:start w:val="1"/>
      <w:numFmt w:val="bullet"/>
      <w:lvlText w:val="o"/>
      <w:lvlJc w:val="left"/>
      <w:pPr>
        <w:ind w:left="5760" w:hanging="360"/>
      </w:pPr>
      <w:rPr>
        <w:rFonts w:ascii="Courier New" w:hAnsi="Courier New" w:hint="default"/>
      </w:rPr>
    </w:lvl>
    <w:lvl w:ilvl="8" w:tplc="BA16872A">
      <w:start w:val="1"/>
      <w:numFmt w:val="bullet"/>
      <w:lvlText w:val=""/>
      <w:lvlJc w:val="left"/>
      <w:pPr>
        <w:ind w:left="6480" w:hanging="360"/>
      </w:pPr>
      <w:rPr>
        <w:rFonts w:ascii="Wingdings" w:hAnsi="Wingdings" w:hint="default"/>
      </w:rPr>
    </w:lvl>
  </w:abstractNum>
  <w:abstractNum w:abstractNumId="1" w15:restartNumberingAfterBreak="0">
    <w:nsid w:val="752B3B45"/>
    <w:multiLevelType w:val="hybridMultilevel"/>
    <w:tmpl w:val="ED78CED4"/>
    <w:lvl w:ilvl="0" w:tplc="42D6622C">
      <w:start w:val="1"/>
      <w:numFmt w:val="bullet"/>
      <w:lvlText w:val=""/>
      <w:lvlJc w:val="left"/>
      <w:pPr>
        <w:ind w:left="720" w:hanging="360"/>
      </w:pPr>
      <w:rPr>
        <w:rFonts w:ascii="Symbol" w:hAnsi="Symbol" w:hint="default"/>
      </w:rPr>
    </w:lvl>
    <w:lvl w:ilvl="1" w:tplc="CBA4C852">
      <w:start w:val="1"/>
      <w:numFmt w:val="bullet"/>
      <w:lvlText w:val="o"/>
      <w:lvlJc w:val="left"/>
      <w:pPr>
        <w:ind w:left="1440" w:hanging="360"/>
      </w:pPr>
      <w:rPr>
        <w:rFonts w:ascii="Courier New" w:hAnsi="Courier New" w:hint="default"/>
      </w:rPr>
    </w:lvl>
    <w:lvl w:ilvl="2" w:tplc="A08CB5E4">
      <w:start w:val="1"/>
      <w:numFmt w:val="bullet"/>
      <w:lvlText w:val=""/>
      <w:lvlJc w:val="left"/>
      <w:pPr>
        <w:ind w:left="2160" w:hanging="360"/>
      </w:pPr>
      <w:rPr>
        <w:rFonts w:ascii="Wingdings" w:hAnsi="Wingdings" w:hint="default"/>
      </w:rPr>
    </w:lvl>
    <w:lvl w:ilvl="3" w:tplc="9A6C9BE6">
      <w:start w:val="1"/>
      <w:numFmt w:val="bullet"/>
      <w:lvlText w:val=""/>
      <w:lvlJc w:val="left"/>
      <w:pPr>
        <w:ind w:left="2880" w:hanging="360"/>
      </w:pPr>
      <w:rPr>
        <w:rFonts w:ascii="Symbol" w:hAnsi="Symbol" w:hint="default"/>
      </w:rPr>
    </w:lvl>
    <w:lvl w:ilvl="4" w:tplc="5FFA7664">
      <w:start w:val="1"/>
      <w:numFmt w:val="bullet"/>
      <w:lvlText w:val="o"/>
      <w:lvlJc w:val="left"/>
      <w:pPr>
        <w:ind w:left="3600" w:hanging="360"/>
      </w:pPr>
      <w:rPr>
        <w:rFonts w:ascii="Courier New" w:hAnsi="Courier New" w:hint="default"/>
      </w:rPr>
    </w:lvl>
    <w:lvl w:ilvl="5" w:tplc="7F9880EE">
      <w:start w:val="1"/>
      <w:numFmt w:val="bullet"/>
      <w:lvlText w:val=""/>
      <w:lvlJc w:val="left"/>
      <w:pPr>
        <w:ind w:left="4320" w:hanging="360"/>
      </w:pPr>
      <w:rPr>
        <w:rFonts w:ascii="Wingdings" w:hAnsi="Wingdings" w:hint="default"/>
      </w:rPr>
    </w:lvl>
    <w:lvl w:ilvl="6" w:tplc="AD705290">
      <w:start w:val="1"/>
      <w:numFmt w:val="bullet"/>
      <w:lvlText w:val=""/>
      <w:lvlJc w:val="left"/>
      <w:pPr>
        <w:ind w:left="5040" w:hanging="360"/>
      </w:pPr>
      <w:rPr>
        <w:rFonts w:ascii="Symbol" w:hAnsi="Symbol" w:hint="default"/>
      </w:rPr>
    </w:lvl>
    <w:lvl w:ilvl="7" w:tplc="BF268536">
      <w:start w:val="1"/>
      <w:numFmt w:val="bullet"/>
      <w:lvlText w:val="o"/>
      <w:lvlJc w:val="left"/>
      <w:pPr>
        <w:ind w:left="5760" w:hanging="360"/>
      </w:pPr>
      <w:rPr>
        <w:rFonts w:ascii="Courier New" w:hAnsi="Courier New" w:hint="default"/>
      </w:rPr>
    </w:lvl>
    <w:lvl w:ilvl="8" w:tplc="06D092F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1FD6C"/>
    <w:rsid w:val="00712626"/>
    <w:rsid w:val="0071E585"/>
    <w:rsid w:val="00A70185"/>
    <w:rsid w:val="00E84811"/>
    <w:rsid w:val="01D85ABD"/>
    <w:rsid w:val="02265BD1"/>
    <w:rsid w:val="0303561F"/>
    <w:rsid w:val="06A7A508"/>
    <w:rsid w:val="06B32A41"/>
    <w:rsid w:val="07AF9875"/>
    <w:rsid w:val="0895A830"/>
    <w:rsid w:val="0B0C967E"/>
    <w:rsid w:val="0B6038E5"/>
    <w:rsid w:val="0BB7546F"/>
    <w:rsid w:val="0C30877E"/>
    <w:rsid w:val="0EE2E0DE"/>
    <w:rsid w:val="0FE5BEF2"/>
    <w:rsid w:val="1046F3EF"/>
    <w:rsid w:val="128E1D6D"/>
    <w:rsid w:val="12FB9532"/>
    <w:rsid w:val="14B93B65"/>
    <w:rsid w:val="1567C999"/>
    <w:rsid w:val="17B6716C"/>
    <w:rsid w:val="199C7F23"/>
    <w:rsid w:val="1CA9F130"/>
    <w:rsid w:val="1CC1FD6C"/>
    <w:rsid w:val="1DA5A1A1"/>
    <w:rsid w:val="1E812284"/>
    <w:rsid w:val="20A38DE1"/>
    <w:rsid w:val="22A1F213"/>
    <w:rsid w:val="22C99F6B"/>
    <w:rsid w:val="26AB3F08"/>
    <w:rsid w:val="292873CC"/>
    <w:rsid w:val="2A0556B6"/>
    <w:rsid w:val="2BCD4B58"/>
    <w:rsid w:val="2CBD2286"/>
    <w:rsid w:val="2CD6BF64"/>
    <w:rsid w:val="2D5A97BD"/>
    <w:rsid w:val="2F931B91"/>
    <w:rsid w:val="312139C6"/>
    <w:rsid w:val="31241185"/>
    <w:rsid w:val="313F151E"/>
    <w:rsid w:val="3294D8F0"/>
    <w:rsid w:val="33399821"/>
    <w:rsid w:val="35F489D0"/>
    <w:rsid w:val="363C84C0"/>
    <w:rsid w:val="37863C8E"/>
    <w:rsid w:val="37EF43ED"/>
    <w:rsid w:val="39E4EE65"/>
    <w:rsid w:val="39EC8072"/>
    <w:rsid w:val="3A667553"/>
    <w:rsid w:val="3C5CBA1E"/>
    <w:rsid w:val="3C8BD024"/>
    <w:rsid w:val="3CC53773"/>
    <w:rsid w:val="3E05FEE3"/>
    <w:rsid w:val="3F72A5EE"/>
    <w:rsid w:val="3F954EA4"/>
    <w:rsid w:val="409E7F77"/>
    <w:rsid w:val="40B712CB"/>
    <w:rsid w:val="41BB225F"/>
    <w:rsid w:val="422360BE"/>
    <w:rsid w:val="42A77411"/>
    <w:rsid w:val="442F8C99"/>
    <w:rsid w:val="44CF8FBB"/>
    <w:rsid w:val="44E3C649"/>
    <w:rsid w:val="455ABFB7"/>
    <w:rsid w:val="45A3B633"/>
    <w:rsid w:val="45BB2908"/>
    <w:rsid w:val="480BCA3C"/>
    <w:rsid w:val="4B332E8E"/>
    <w:rsid w:val="4BB9D9B1"/>
    <w:rsid w:val="4C3A3991"/>
    <w:rsid w:val="4D73F8CF"/>
    <w:rsid w:val="52304075"/>
    <w:rsid w:val="5539D69F"/>
    <w:rsid w:val="554BE532"/>
    <w:rsid w:val="5796D1C4"/>
    <w:rsid w:val="5991A9A7"/>
    <w:rsid w:val="5A86547C"/>
    <w:rsid w:val="5B4424F6"/>
    <w:rsid w:val="5E9306C2"/>
    <w:rsid w:val="5EF7E631"/>
    <w:rsid w:val="60354F04"/>
    <w:rsid w:val="62E2715E"/>
    <w:rsid w:val="65D4C7FF"/>
    <w:rsid w:val="66C3E9BC"/>
    <w:rsid w:val="6D081F82"/>
    <w:rsid w:val="6F817240"/>
    <w:rsid w:val="72D53F49"/>
    <w:rsid w:val="754E6949"/>
    <w:rsid w:val="756802E7"/>
    <w:rsid w:val="78CFC657"/>
    <w:rsid w:val="7997745D"/>
    <w:rsid w:val="7C834B60"/>
    <w:rsid w:val="7DE07BDD"/>
    <w:rsid w:val="7EFE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FD6C"/>
  <w15:chartTrackingRefBased/>
  <w15:docId w15:val="{11C08E0C-CB1E-4498-9740-196E10AE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vhXztF2suYY&amp;feature=youtu.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4nYgAZvE5I&amp;feature=youtu.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youtube.com/watch?v=OPP56HnRCd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603BC64C06449BF540F0A859171B5" ma:contentTypeVersion="8" ma:contentTypeDescription="Create a new document." ma:contentTypeScope="" ma:versionID="7e2b8e4462842767eea22bb70c4ee3b8">
  <xsd:schema xmlns:xsd="http://www.w3.org/2001/XMLSchema" xmlns:xs="http://www.w3.org/2001/XMLSchema" xmlns:p="http://schemas.microsoft.com/office/2006/metadata/properties" xmlns:ns2="b115f53a-c4e1-4ae7-8ba2-2cd14d468540" xmlns:ns3="83b1b451-c2ee-4473-9e90-74b4aa745c36" targetNamespace="http://schemas.microsoft.com/office/2006/metadata/properties" ma:root="true" ma:fieldsID="ff34c6e99c74b2e4097c32a1fbf8201b" ns2:_="" ns3:_="">
    <xsd:import namespace="b115f53a-c4e1-4ae7-8ba2-2cd14d468540"/>
    <xsd:import namespace="83b1b451-c2ee-4473-9e90-74b4aa745c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5f53a-c4e1-4ae7-8ba2-2cd14d468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b1b451-c2ee-4473-9e90-74b4aa745c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CEF6D-2BA5-4EF5-881E-CCA2EBB51613}"/>
</file>

<file path=customXml/itemProps2.xml><?xml version="1.0" encoding="utf-8"?>
<ds:datastoreItem xmlns:ds="http://schemas.openxmlformats.org/officeDocument/2006/customXml" ds:itemID="{729D665F-86B5-4875-9020-5E7FF48DA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B38264-13D3-4C2A-9216-61EE2C112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Heinen</dc:creator>
  <cp:keywords/>
  <dc:description/>
  <cp:lastModifiedBy>Sean L Johnson</cp:lastModifiedBy>
  <cp:revision>2</cp:revision>
  <dcterms:created xsi:type="dcterms:W3CDTF">2020-07-08T14:07:00Z</dcterms:created>
  <dcterms:modified xsi:type="dcterms:W3CDTF">2020-07-08T14:07:00Z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0x010100DDD603BC64C06449BF540F0A859171B5</vt:lpwstr>
  </property>
</Properties>
</file>