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60C23"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 xml:space="preserve">Equity is a central value at the University of Washington. This is exemplified by the Race and Equity Initiative that made a collective commitment to “combat the racism and inequities, both individual and institutional, that persist here and throughout our society” (Race and Equity at the UW, 2020). Even before the COVID-19 crisis, caregivers faced multiple workplace challenges, but the pandemic has exacerbated these hardships and created systemic imbalances that threaten UW’s commitment to equity. Through no fault of their own, many caregivers face an untenable choice: to honor their child/elder care responsibilities or their job responsibilities. In many households, women shoulder </w:t>
      </w:r>
      <w:proofErr w:type="gramStart"/>
      <w:r w:rsidRPr="00FB7E6D">
        <w:rPr>
          <w:rFonts w:ascii="Times New Roman" w:eastAsia="Times New Roman" w:hAnsi="Times New Roman" w:cs="Times New Roman"/>
          <w:color w:val="000000"/>
          <w:sz w:val="24"/>
          <w:szCs w:val="24"/>
        </w:rPr>
        <w:t>the majority of</w:t>
      </w:r>
      <w:proofErr w:type="gramEnd"/>
      <w:r w:rsidRPr="00FB7E6D">
        <w:rPr>
          <w:rFonts w:ascii="Times New Roman" w:eastAsia="Times New Roman" w:hAnsi="Times New Roman" w:cs="Times New Roman"/>
          <w:color w:val="000000"/>
          <w:sz w:val="24"/>
          <w:szCs w:val="24"/>
        </w:rPr>
        <w:t xml:space="preserve"> caregiving tasks and responsibilities. As a result, women and their careers may experience greater hardship from this consequential shift as our society moves to protect the health and well-being of our communities. </w:t>
      </w:r>
      <w:proofErr w:type="gramStart"/>
      <w:r w:rsidRPr="00FB7E6D">
        <w:rPr>
          <w:rFonts w:ascii="Times New Roman" w:eastAsia="Times New Roman" w:hAnsi="Times New Roman" w:cs="Times New Roman"/>
          <w:color w:val="000000"/>
          <w:sz w:val="24"/>
          <w:szCs w:val="24"/>
        </w:rPr>
        <w:t>Additionally</w:t>
      </w:r>
      <w:proofErr w:type="gramEnd"/>
      <w:r w:rsidRPr="00FB7E6D">
        <w:rPr>
          <w:rFonts w:ascii="Times New Roman" w:eastAsia="Times New Roman" w:hAnsi="Times New Roman" w:cs="Times New Roman"/>
          <w:color w:val="000000"/>
          <w:sz w:val="24"/>
          <w:szCs w:val="24"/>
        </w:rPr>
        <w:t xml:space="preserve"> troubling, people of color experience more devastating COVID-19 outcomes and these inequities will be even more stark. By not addressing these issues, we are creating a hostile environment toward caregivers - one where caregiver discrimination is baked into our policies and deepens existing inequities. Without support and systematic adjustments to </w:t>
      </w:r>
      <w:r w:rsidRPr="00FB7E6D">
        <w:rPr>
          <w:rFonts w:ascii="Times New Roman" w:eastAsia="Times New Roman" w:hAnsi="Times New Roman" w:cs="Times New Roman"/>
          <w:color w:val="000000"/>
          <w:sz w:val="24"/>
          <w:szCs w:val="24"/>
          <w:u w:val="single"/>
        </w:rPr>
        <w:t>productivity expectations</w:t>
      </w:r>
      <w:r w:rsidRPr="00FB7E6D">
        <w:rPr>
          <w:rFonts w:ascii="Times New Roman" w:eastAsia="Times New Roman" w:hAnsi="Times New Roman" w:cs="Times New Roman"/>
          <w:color w:val="000000"/>
          <w:sz w:val="24"/>
          <w:szCs w:val="24"/>
        </w:rPr>
        <w:t>, we are creating conditions for discrimination based on caregiving obligations, family health status (e.g., immune-compromised families who cannot safely bring in additional care), and wealth (since only those who have the means to pay for care can do so now).</w:t>
      </w:r>
    </w:p>
    <w:p w14:paraId="276836E2" w14:textId="7061FDA3"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 Our institution actively recruited the best and the brightest. Without strong and immediate action, our institution could see the reversal of hard-fought gains in representation. All faculty at UW, no matter their gender, race, or caregiving status, deserve equitable access to support and accommodation to ensure people can stay in their careers, especially during this crisis. Equity requires us to re-examine how we define contribution and productivity, and how we distribute labor, seen and unseen. With meaningful commitment, UW may yet retain its best and brightest.</w:t>
      </w:r>
    </w:p>
    <w:p w14:paraId="640E4022"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 This Class C legislation proposes the following to help support those instructors (part-time, full-time, graduate students) and faculty influenced by the COVID pandemic:</w:t>
      </w:r>
    </w:p>
    <w:p w14:paraId="11BF55DC"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 </w:t>
      </w:r>
    </w:p>
    <w:p w14:paraId="744D95E9" w14:textId="289310BF" w:rsidR="00FB7E6D" w:rsidRPr="00FB7E6D" w:rsidRDefault="00FB7E6D" w:rsidP="00FB7E6D">
      <w:pPr>
        <w:numPr>
          <w:ilvl w:val="0"/>
          <w:numId w:val="1"/>
        </w:numPr>
        <w:spacing w:after="240" w:line="240" w:lineRule="auto"/>
        <w:textAlignment w:val="baseline"/>
        <w:rPr>
          <w:rFonts w:ascii="Times New Roman" w:hAnsi="Times New Roman" w:cs="Times New Roman"/>
          <w:sz w:val="24"/>
          <w:szCs w:val="24"/>
        </w:rPr>
      </w:pPr>
      <w:r w:rsidRPr="00FB7E6D">
        <w:rPr>
          <w:rFonts w:ascii="Times New Roman" w:eastAsia="Times New Roman" w:hAnsi="Times New Roman" w:cs="Times New Roman"/>
          <w:b/>
          <w:bCs/>
          <w:color w:val="000000"/>
          <w:sz w:val="24"/>
          <w:szCs w:val="24"/>
        </w:rPr>
        <w:t>Adjusting performance expectations</w:t>
      </w:r>
      <w:r w:rsidRPr="00FB7E6D">
        <w:rPr>
          <w:rFonts w:ascii="Times New Roman" w:eastAsia="Times New Roman" w:hAnsi="Times New Roman" w:cs="Times New Roman"/>
          <w:color w:val="000000"/>
          <w:sz w:val="24"/>
          <w:szCs w:val="24"/>
        </w:rPr>
        <w:t xml:space="preserve"> for caregiver faculty in the short term until this crisis is over, and accounting for these differences in expectations in performance evaluations now and moving forward. </w:t>
      </w:r>
      <w:r w:rsidRPr="00FF6059">
        <w:rPr>
          <w:rFonts w:ascii="Times New Roman" w:eastAsia="Times New Roman" w:hAnsi="Times New Roman" w:cs="Times New Roman"/>
          <w:color w:val="000000"/>
          <w:sz w:val="24"/>
          <w:szCs w:val="24"/>
        </w:rPr>
        <w:t xml:space="preserve">Specifically, announce a Caregiver Adjustment </w:t>
      </w:r>
      <w:r w:rsidR="00FF6059">
        <w:rPr>
          <w:rFonts w:ascii="Times New Roman" w:hAnsi="Times New Roman" w:cs="Times New Roman"/>
          <w:sz w:val="24"/>
          <w:szCs w:val="24"/>
        </w:rPr>
        <w:t>P</w:t>
      </w:r>
      <w:r w:rsidRPr="00FF6059">
        <w:rPr>
          <w:rFonts w:ascii="Times New Roman" w:hAnsi="Times New Roman" w:cs="Times New Roman"/>
          <w:sz w:val="24"/>
          <w:szCs w:val="24"/>
        </w:rPr>
        <w:t xml:space="preserve">olicy that advises all units to reduce performance expectations (teaching, research, and service) </w:t>
      </w:r>
      <w:r w:rsidR="004C7213" w:rsidRPr="00FF6059">
        <w:rPr>
          <w:rFonts w:ascii="Times New Roman" w:hAnsi="Times New Roman" w:cs="Times New Roman"/>
          <w:sz w:val="24"/>
          <w:szCs w:val="24"/>
        </w:rPr>
        <w:t>between</w:t>
      </w:r>
      <w:r w:rsidRPr="00FF6059">
        <w:rPr>
          <w:rFonts w:ascii="Times New Roman" w:hAnsi="Times New Roman" w:cs="Times New Roman"/>
          <w:sz w:val="24"/>
          <w:szCs w:val="24"/>
        </w:rPr>
        <w:t xml:space="preserve"> </w:t>
      </w:r>
      <w:r w:rsidR="004C7213" w:rsidRPr="00FF6059">
        <w:rPr>
          <w:rFonts w:ascii="Times New Roman" w:hAnsi="Times New Roman" w:cs="Times New Roman"/>
          <w:sz w:val="24"/>
          <w:szCs w:val="24"/>
        </w:rPr>
        <w:t>25</w:t>
      </w:r>
      <w:r w:rsidRPr="00FF6059">
        <w:rPr>
          <w:rFonts w:ascii="Times New Roman" w:hAnsi="Times New Roman" w:cs="Times New Roman"/>
          <w:sz w:val="24"/>
          <w:szCs w:val="24"/>
        </w:rPr>
        <w:t>%</w:t>
      </w:r>
      <w:r w:rsidR="004C7213" w:rsidRPr="00FF6059">
        <w:rPr>
          <w:rFonts w:ascii="Times New Roman" w:hAnsi="Times New Roman" w:cs="Times New Roman"/>
          <w:sz w:val="24"/>
          <w:szCs w:val="24"/>
        </w:rPr>
        <w:t>-75%  - noting that the specific adjustment would be determined as a discussion between the unit leader and instructor.</w:t>
      </w:r>
      <w:r w:rsidR="004C7213">
        <w:rPr>
          <w:rFonts w:ascii="Times New Roman" w:hAnsi="Times New Roman" w:cs="Times New Roman"/>
          <w:sz w:val="24"/>
          <w:szCs w:val="24"/>
        </w:rPr>
        <w:t xml:space="preserve"> </w:t>
      </w:r>
      <w:r w:rsidRPr="00FB7E6D">
        <w:rPr>
          <w:rFonts w:ascii="Times New Roman" w:hAnsi="Times New Roman" w:cs="Times New Roman"/>
          <w:sz w:val="24"/>
          <w:szCs w:val="24"/>
        </w:rPr>
        <w:t>Personnel committees should be charged with creating unit specific models of these Caregiver Adjustments. Units should publicize this adjustment and adopt a simple process for colleagues to invoke the Caregiver Adjustment when materials are submitted for review and throughout the academic year so long as this crisis and its impacts persist. If a caregiver’s teaching responsibilities cannot be reduced (for example, the caregiver is the only person available to teach a class), then the unit leader should make large performance expectation adjustments to research and service areas to account for the caregiver’s teaching load. This adjustment cannot be used against caregivers now or during any future reviews</w:t>
      </w:r>
      <w:r w:rsidR="004974A3" w:rsidRPr="004C7213">
        <w:rPr>
          <w:rFonts w:ascii="Times New Roman" w:hAnsi="Times New Roman" w:cs="Times New Roman"/>
          <w:sz w:val="24"/>
          <w:szCs w:val="24"/>
        </w:rPr>
        <w:t xml:space="preserve">, </w:t>
      </w:r>
      <w:proofErr w:type="gramStart"/>
      <w:r w:rsidR="004974A3" w:rsidRPr="004C7213">
        <w:rPr>
          <w:rFonts w:ascii="Times New Roman" w:hAnsi="Times New Roman" w:cs="Times New Roman"/>
          <w:sz w:val="24"/>
          <w:szCs w:val="24"/>
        </w:rPr>
        <w:t>merit</w:t>
      </w:r>
      <w:proofErr w:type="gramEnd"/>
      <w:r w:rsidR="004974A3" w:rsidRPr="004C7213">
        <w:rPr>
          <w:rFonts w:ascii="Times New Roman" w:hAnsi="Times New Roman" w:cs="Times New Roman"/>
          <w:sz w:val="24"/>
          <w:szCs w:val="24"/>
        </w:rPr>
        <w:t xml:space="preserve"> or promotion decisions</w:t>
      </w:r>
      <w:r w:rsidRPr="00FB7E6D">
        <w:rPr>
          <w:rFonts w:ascii="Times New Roman" w:hAnsi="Times New Roman" w:cs="Times New Roman"/>
          <w:sz w:val="24"/>
          <w:szCs w:val="24"/>
        </w:rPr>
        <w:t xml:space="preserve">. Further, teaching evaluations during this crisis should not be used for merit or performance evaluations – unless the individual faculty member makes the personal choice to include teaching evaluations in their performance reviews </w:t>
      </w:r>
      <w:r w:rsidRPr="00FB7E6D">
        <w:rPr>
          <w:rFonts w:ascii="Times New Roman" w:hAnsi="Times New Roman" w:cs="Times New Roman"/>
          <w:sz w:val="24"/>
          <w:szCs w:val="24"/>
        </w:rPr>
        <w:lastRenderedPageBreak/>
        <w:t xml:space="preserve">after viewing them. Also note that the effect of changing performance expectations should be assessed over time to ensure that inequity is not exacerbated by this recommendation (see </w:t>
      </w:r>
      <w:proofErr w:type="spellStart"/>
      <w:r w:rsidRPr="00FB7E6D">
        <w:rPr>
          <w:rFonts w:ascii="Times New Roman" w:hAnsi="Times New Roman" w:cs="Times New Roman"/>
          <w:sz w:val="24"/>
          <w:szCs w:val="24"/>
        </w:rPr>
        <w:t>Antecol</w:t>
      </w:r>
      <w:proofErr w:type="spellEnd"/>
      <w:r w:rsidRPr="00FB7E6D">
        <w:rPr>
          <w:rFonts w:ascii="Times New Roman" w:hAnsi="Times New Roman" w:cs="Times New Roman"/>
          <w:sz w:val="24"/>
          <w:szCs w:val="24"/>
        </w:rPr>
        <w:t>, Bedard, &amp; Stearns, 2018).  Specifically, research indicates that the benefit of adding a year to the tenure clock for parents disproportionately benefits male faculty members and further exacerbates gender disparities. Unit leaders should ensure that equity is enhanced (and that inequity is not exacerbated) by this recommendation. </w:t>
      </w:r>
    </w:p>
    <w:p w14:paraId="5F7D064D" w14:textId="77777777" w:rsidR="00FB7E6D" w:rsidRPr="00FB7E6D" w:rsidRDefault="00FB7E6D" w:rsidP="00FB7E6D">
      <w:pPr>
        <w:spacing w:after="0" w:line="240" w:lineRule="auto"/>
        <w:ind w:left="72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w:t>
      </w:r>
    </w:p>
    <w:p w14:paraId="5A679F26" w14:textId="64A2BCCD" w:rsidR="00FB7E6D" w:rsidRPr="00FB7E6D" w:rsidRDefault="00FB7E6D" w:rsidP="00FB7E6D">
      <w:pPr>
        <w:numPr>
          <w:ilvl w:val="0"/>
          <w:numId w:val="2"/>
        </w:numPr>
        <w:spacing w:after="240" w:line="240" w:lineRule="auto"/>
        <w:textAlignment w:val="baseline"/>
        <w:rPr>
          <w:rFonts w:ascii="Arial" w:eastAsia="Times New Roman" w:hAnsi="Arial" w:cs="Arial"/>
        </w:rPr>
      </w:pPr>
      <w:r w:rsidRPr="00FB7E6D">
        <w:rPr>
          <w:rFonts w:ascii="Times New Roman" w:eastAsia="Times New Roman" w:hAnsi="Times New Roman" w:cs="Times New Roman"/>
          <w:b/>
          <w:bCs/>
          <w:sz w:val="24"/>
          <w:szCs w:val="24"/>
        </w:rPr>
        <w:t xml:space="preserve">Offer teaching relief and support to improve efficiencies in teaching. </w:t>
      </w:r>
      <w:r w:rsidRPr="00FB7E6D">
        <w:rPr>
          <w:rFonts w:ascii="Times New Roman" w:eastAsia="Times New Roman" w:hAnsi="Times New Roman" w:cs="Times New Roman"/>
          <w:sz w:val="24"/>
          <w:szCs w:val="24"/>
        </w:rPr>
        <w:t xml:space="preserve">Deans, Associate Deans, and Department Heads should reach out to professors and lecturers to assess their teaching and wellness needs at this time. Unit leaders should provide the following options to </w:t>
      </w:r>
      <w:r w:rsidR="00FF6059">
        <w:rPr>
          <w:rFonts w:ascii="Times New Roman" w:eastAsia="Times New Roman" w:hAnsi="Times New Roman" w:cs="Times New Roman"/>
          <w:sz w:val="24"/>
          <w:szCs w:val="24"/>
        </w:rPr>
        <w:t>instructors</w:t>
      </w:r>
      <w:r w:rsidRPr="00FB7E6D">
        <w:rPr>
          <w:rFonts w:ascii="Times New Roman" w:eastAsia="Times New Roman" w:hAnsi="Times New Roman" w:cs="Times New Roman"/>
          <w:sz w:val="24"/>
          <w:szCs w:val="24"/>
        </w:rPr>
        <w:t xml:space="preserve"> during this crisis</w:t>
      </w:r>
      <w:r w:rsidR="00FF6059">
        <w:rPr>
          <w:rFonts w:ascii="Times New Roman" w:eastAsia="Times New Roman" w:hAnsi="Times New Roman" w:cs="Times New Roman"/>
          <w:sz w:val="24"/>
          <w:szCs w:val="24"/>
        </w:rPr>
        <w:t xml:space="preserve">. </w:t>
      </w:r>
    </w:p>
    <w:p w14:paraId="54515337" w14:textId="77777777" w:rsidR="00FB7E6D" w:rsidRPr="00FB7E6D" w:rsidRDefault="00FB7E6D" w:rsidP="00FB7E6D">
      <w:pPr>
        <w:spacing w:after="0" w:line="240" w:lineRule="auto"/>
        <w:ind w:left="144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a.      </w:t>
      </w:r>
      <w:r w:rsidRPr="00FB7E6D">
        <w:rPr>
          <w:rFonts w:ascii="Times New Roman" w:eastAsia="Times New Roman" w:hAnsi="Times New Roman" w:cs="Times New Roman"/>
          <w:b/>
          <w:bCs/>
          <w:sz w:val="24"/>
          <w:szCs w:val="24"/>
        </w:rPr>
        <w:t>Teaching Relief.</w:t>
      </w:r>
      <w:r w:rsidRPr="00FB7E6D">
        <w:rPr>
          <w:rFonts w:ascii="Times New Roman" w:eastAsia="Times New Roman" w:hAnsi="Times New Roman" w:cs="Times New Roman"/>
          <w:sz w:val="24"/>
          <w:szCs w:val="24"/>
        </w:rPr>
        <w:t xml:space="preserve"> Some individuals do not have the possibility to teach during this crisis due to caregiving, illness, or other dire circumstances. These individuals should be provided teaching relief (not be expected to teach) without experiencing negative consequences in their contract, status, or pay. </w:t>
      </w:r>
    </w:p>
    <w:p w14:paraId="4EF239B9" w14:textId="170D2B10" w:rsidR="00FB7E6D" w:rsidRPr="00FB7E6D" w:rsidRDefault="00FB7E6D" w:rsidP="00FB7E6D">
      <w:pPr>
        <w:spacing w:after="0" w:line="240" w:lineRule="auto"/>
        <w:ind w:left="144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b.     </w:t>
      </w:r>
      <w:r w:rsidRPr="00FB7E6D">
        <w:rPr>
          <w:rFonts w:ascii="Times New Roman" w:eastAsia="Times New Roman" w:hAnsi="Times New Roman" w:cs="Times New Roman"/>
          <w:b/>
          <w:bCs/>
          <w:sz w:val="24"/>
          <w:szCs w:val="24"/>
        </w:rPr>
        <w:t>Flexibility in Teaching.</w:t>
      </w:r>
      <w:r w:rsidRPr="00FB7E6D">
        <w:rPr>
          <w:rFonts w:ascii="Times New Roman" w:eastAsia="Times New Roman" w:hAnsi="Times New Roman" w:cs="Times New Roman"/>
          <w:sz w:val="24"/>
          <w:szCs w:val="24"/>
        </w:rPr>
        <w:t xml:space="preserve"> Unit leaders should encourage creative ways to accomplish teaching during this crisis. When multiple sections of the same course are offered, merge sections</w:t>
      </w:r>
      <w:r w:rsidRPr="00FB7E6D">
        <w:rPr>
          <w:rFonts w:ascii="Times New Roman" w:hAnsi="Times New Roman" w:cs="Times New Roman"/>
          <w:sz w:val="24"/>
          <w:szCs w:val="24"/>
        </w:rPr>
        <w:t xml:space="preserve"> when possible if merging will reduce the workload</w:t>
      </w:r>
      <w:r w:rsidR="004974A3">
        <w:rPr>
          <w:rFonts w:ascii="Times New Roman" w:hAnsi="Times New Roman" w:cs="Times New Roman"/>
          <w:sz w:val="24"/>
          <w:szCs w:val="24"/>
        </w:rPr>
        <w:t xml:space="preserve"> and when instructors agree to do so</w:t>
      </w:r>
      <w:r w:rsidRPr="00FB7E6D">
        <w:rPr>
          <w:rFonts w:ascii="Times New Roman" w:hAnsi="Times New Roman" w:cs="Times New Roman"/>
          <w:sz w:val="24"/>
          <w:szCs w:val="24"/>
        </w:rPr>
        <w:t xml:space="preserve">. Another option is to offer flexibility in timing of the course if students are not engaged in synchronous activities. </w:t>
      </w:r>
      <w:r w:rsidR="00747E67">
        <w:rPr>
          <w:rFonts w:ascii="Times New Roman" w:hAnsi="Times New Roman" w:cs="Times New Roman"/>
          <w:sz w:val="24"/>
          <w:szCs w:val="24"/>
        </w:rPr>
        <w:t>W</w:t>
      </w:r>
      <w:r w:rsidRPr="00FB7E6D">
        <w:rPr>
          <w:rFonts w:ascii="Times New Roman" w:hAnsi="Times New Roman" w:cs="Times New Roman"/>
          <w:sz w:val="24"/>
          <w:szCs w:val="24"/>
        </w:rPr>
        <w:t xml:space="preserve">e </w:t>
      </w:r>
      <w:r w:rsidR="00747E67">
        <w:rPr>
          <w:rFonts w:ascii="Times New Roman" w:hAnsi="Times New Roman" w:cs="Times New Roman"/>
          <w:sz w:val="24"/>
          <w:szCs w:val="24"/>
        </w:rPr>
        <w:t xml:space="preserve">also </w:t>
      </w:r>
      <w:r w:rsidRPr="00FB7E6D">
        <w:rPr>
          <w:rFonts w:ascii="Times New Roman" w:hAnsi="Times New Roman" w:cs="Times New Roman"/>
          <w:sz w:val="24"/>
          <w:szCs w:val="24"/>
        </w:rPr>
        <w:t>recommend that the time schedule states if the class contains synchronous activities or is only asynchronous</w:t>
      </w:r>
      <w:r w:rsidR="00747E67">
        <w:rPr>
          <w:rFonts w:ascii="Times New Roman" w:hAnsi="Times New Roman" w:cs="Times New Roman"/>
          <w:sz w:val="24"/>
          <w:szCs w:val="24"/>
        </w:rPr>
        <w:t>, so that students and instructors have consistent expectations</w:t>
      </w:r>
      <w:r w:rsidRPr="00FB7E6D">
        <w:rPr>
          <w:rFonts w:ascii="Times New Roman" w:hAnsi="Times New Roman" w:cs="Times New Roman"/>
          <w:sz w:val="24"/>
          <w:szCs w:val="24"/>
        </w:rPr>
        <w:t>. </w:t>
      </w:r>
    </w:p>
    <w:p w14:paraId="3D9D58C1" w14:textId="77777777" w:rsidR="00FB7E6D" w:rsidRPr="00FB7E6D" w:rsidRDefault="00FB7E6D" w:rsidP="00FB7E6D">
      <w:pPr>
        <w:spacing w:after="0" w:line="240" w:lineRule="auto"/>
        <w:ind w:left="144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c.      </w:t>
      </w:r>
      <w:r w:rsidRPr="00FB7E6D">
        <w:rPr>
          <w:rFonts w:ascii="Times New Roman" w:eastAsia="Times New Roman" w:hAnsi="Times New Roman" w:cs="Times New Roman"/>
          <w:b/>
          <w:bCs/>
          <w:sz w:val="24"/>
          <w:szCs w:val="24"/>
        </w:rPr>
        <w:t>Provide additional support to those teaching</w:t>
      </w:r>
      <w:r w:rsidRPr="00FB7E6D">
        <w:rPr>
          <w:rFonts w:ascii="Times New Roman" w:eastAsia="Times New Roman" w:hAnsi="Times New Roman" w:cs="Times New Roman"/>
          <w:sz w:val="24"/>
          <w:szCs w:val="24"/>
        </w:rPr>
        <w:t>.</w:t>
      </w:r>
    </w:p>
    <w:p w14:paraId="5862C931" w14:textId="7226CAF4" w:rsidR="00FB7E6D" w:rsidRPr="00FB7E6D" w:rsidRDefault="00FB7E6D" w:rsidP="00FB7E6D">
      <w:pPr>
        <w:spacing w:after="0" w:line="240" w:lineRule="auto"/>
        <w:ind w:left="208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1.</w:t>
      </w:r>
      <w:r w:rsidRPr="00FB7E6D">
        <w:rPr>
          <w:rFonts w:ascii="Times New Roman" w:eastAsia="Times New Roman" w:hAnsi="Times New Roman" w:cs="Times New Roman"/>
          <w:sz w:val="14"/>
          <w:szCs w:val="14"/>
        </w:rPr>
        <w:t xml:space="preserve">   </w:t>
      </w:r>
      <w:r w:rsidRPr="00FB7E6D">
        <w:rPr>
          <w:rFonts w:ascii="Times New Roman" w:eastAsia="Times New Roman" w:hAnsi="Times New Roman" w:cs="Times New Roman"/>
          <w:b/>
          <w:bCs/>
          <w:sz w:val="24"/>
          <w:szCs w:val="24"/>
        </w:rPr>
        <w:t xml:space="preserve">Pool of “stand-by” educators and technical support. </w:t>
      </w:r>
      <w:r w:rsidRPr="00FB7E6D">
        <w:rPr>
          <w:rFonts w:ascii="Times New Roman" w:eastAsia="Times New Roman" w:hAnsi="Times New Roman" w:cs="Times New Roman"/>
          <w:sz w:val="24"/>
          <w:szCs w:val="24"/>
        </w:rPr>
        <w:t xml:space="preserve">Individual educators are facing momentary crises (e.g., day care shutting down due to sickness) that impact their ability to teach on a given day or for multiple class sessions. To address this, </w:t>
      </w:r>
      <w:r w:rsidRPr="00FB7E6D">
        <w:rPr>
          <w:rFonts w:ascii="Times New Roman" w:hAnsi="Times New Roman" w:cs="Times New Roman"/>
          <w:sz w:val="24"/>
          <w:szCs w:val="24"/>
        </w:rPr>
        <w:t xml:space="preserve">each unit should a) create a climate of understanding and (at minimum) do not penalize or sanction faculty canceling synchronous class meetings, b) when possible create a system of stand-by backup educators and/or provide technology support to help faculty provide video content to students. Provide funding for these resources if needed. Backup videos or instructors are especially important for core classes. Recognizing that many primary educators are facing the same stressors and challenges, Chairs, Associate Deans, and others with reduced course loads </w:t>
      </w:r>
      <w:r w:rsidR="002639DA">
        <w:rPr>
          <w:rFonts w:ascii="Times New Roman" w:hAnsi="Times New Roman" w:cs="Times New Roman"/>
          <w:sz w:val="24"/>
          <w:szCs w:val="24"/>
        </w:rPr>
        <w:t>could be an option or a willing peer</w:t>
      </w:r>
      <w:r w:rsidRPr="00FB7E6D">
        <w:rPr>
          <w:rFonts w:ascii="Times New Roman" w:hAnsi="Times New Roman" w:cs="Times New Roman"/>
          <w:sz w:val="24"/>
          <w:szCs w:val="24"/>
        </w:rPr>
        <w:t xml:space="preserve"> stand-by educators if they have the expertise to teach the course. Units may also develop peer support models with a careful eye toward who steps</w:t>
      </w:r>
      <w:r w:rsidRPr="00FB7E6D">
        <w:rPr>
          <w:rFonts w:ascii="Times New Roman" w:eastAsia="Times New Roman" w:hAnsi="Times New Roman" w:cs="Times New Roman"/>
          <w:sz w:val="28"/>
          <w:szCs w:val="28"/>
        </w:rPr>
        <w:t xml:space="preserve"> </w:t>
      </w:r>
      <w:r w:rsidRPr="00FB7E6D">
        <w:rPr>
          <w:rFonts w:ascii="Times New Roman" w:eastAsia="Times New Roman" w:hAnsi="Times New Roman" w:cs="Times New Roman"/>
          <w:sz w:val="24"/>
          <w:szCs w:val="24"/>
        </w:rPr>
        <w:t>into that work (monitoring ongoing inequities based on gender and race).</w:t>
      </w:r>
      <w:r w:rsidR="004C7213" w:rsidRPr="004C7213">
        <w:rPr>
          <w:rFonts w:ascii="Times New Roman" w:hAnsi="Times New Roman" w:cs="Times New Roman"/>
          <w:sz w:val="24"/>
          <w:szCs w:val="24"/>
        </w:rPr>
        <w:t xml:space="preserve"> </w:t>
      </w:r>
      <w:r w:rsidR="004C7213">
        <w:rPr>
          <w:rFonts w:ascii="Times New Roman" w:hAnsi="Times New Roman" w:cs="Times New Roman"/>
          <w:sz w:val="24"/>
          <w:szCs w:val="24"/>
        </w:rPr>
        <w:t xml:space="preserve">Note that the individual instructor will make the </w:t>
      </w:r>
      <w:r w:rsidR="00FF6059">
        <w:rPr>
          <w:rFonts w:ascii="Times New Roman" w:hAnsi="Times New Roman" w:cs="Times New Roman"/>
          <w:sz w:val="24"/>
          <w:szCs w:val="24"/>
        </w:rPr>
        <w:t>determining</w:t>
      </w:r>
      <w:r w:rsidR="004C7213">
        <w:rPr>
          <w:rFonts w:ascii="Times New Roman" w:hAnsi="Times New Roman" w:cs="Times New Roman"/>
          <w:sz w:val="24"/>
          <w:szCs w:val="24"/>
        </w:rPr>
        <w:t xml:space="preserve"> choice for the specific backup video or instructor. </w:t>
      </w:r>
    </w:p>
    <w:p w14:paraId="60CD37E9" w14:textId="3EF5D8B5" w:rsidR="00FB7E6D" w:rsidRPr="00FB7E6D" w:rsidRDefault="00FB7E6D" w:rsidP="00FB7E6D">
      <w:pPr>
        <w:spacing w:after="0" w:line="240" w:lineRule="auto"/>
        <w:ind w:left="208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2.</w:t>
      </w:r>
      <w:r w:rsidRPr="00FB7E6D">
        <w:rPr>
          <w:rFonts w:ascii="Times New Roman" w:eastAsia="Times New Roman" w:hAnsi="Times New Roman" w:cs="Times New Roman"/>
          <w:sz w:val="14"/>
          <w:szCs w:val="14"/>
        </w:rPr>
        <w:t xml:space="preserve">   </w:t>
      </w:r>
      <w:r w:rsidRPr="00FB7E6D">
        <w:rPr>
          <w:rFonts w:ascii="Times New Roman" w:eastAsia="Times New Roman" w:hAnsi="Times New Roman" w:cs="Times New Roman"/>
          <w:b/>
          <w:bCs/>
          <w:sz w:val="24"/>
          <w:szCs w:val="24"/>
        </w:rPr>
        <w:t>Backup Care –</w:t>
      </w:r>
      <w:r w:rsidRPr="00FB7E6D">
        <w:rPr>
          <w:rFonts w:ascii="Times New Roman" w:eastAsia="Times New Roman" w:hAnsi="Times New Roman" w:cs="Times New Roman"/>
          <w:sz w:val="24"/>
          <w:szCs w:val="24"/>
        </w:rPr>
        <w:t xml:space="preserve"> Expand and provide information for </w:t>
      </w:r>
      <w:r w:rsidRPr="00FB7E6D">
        <w:rPr>
          <w:rFonts w:ascii="Times New Roman" w:hAnsi="Times New Roman" w:cs="Times New Roman"/>
        </w:rPr>
        <w:t>affordable backup</w:t>
      </w:r>
      <w:r w:rsidRPr="00FB7E6D">
        <w:rPr>
          <w:rFonts w:ascii="Times New Roman" w:eastAsia="Times New Roman" w:hAnsi="Times New Roman" w:cs="Times New Roman"/>
          <w:sz w:val="24"/>
          <w:szCs w:val="24"/>
        </w:rPr>
        <w:t xml:space="preserve"> care options for child and elder care. Most of our child (e.g., Bright Horizons Backup Care) and elder care resources are taxed at this time. </w:t>
      </w:r>
      <w:r w:rsidR="00747E67">
        <w:rPr>
          <w:rFonts w:ascii="Times New Roman" w:eastAsia="Times New Roman" w:hAnsi="Times New Roman" w:cs="Times New Roman"/>
          <w:sz w:val="24"/>
          <w:szCs w:val="24"/>
        </w:rPr>
        <w:t xml:space="preserve">We </w:t>
      </w:r>
      <w:r w:rsidR="00747E67">
        <w:rPr>
          <w:rFonts w:ascii="Times New Roman" w:eastAsia="Times New Roman" w:hAnsi="Times New Roman" w:cs="Times New Roman"/>
          <w:sz w:val="24"/>
          <w:szCs w:val="24"/>
        </w:rPr>
        <w:lastRenderedPageBreak/>
        <w:t>recommend r</w:t>
      </w:r>
      <w:r w:rsidRPr="00FB7E6D">
        <w:rPr>
          <w:rFonts w:ascii="Times New Roman" w:eastAsia="Times New Roman" w:hAnsi="Times New Roman" w:cs="Times New Roman"/>
          <w:sz w:val="24"/>
          <w:szCs w:val="24"/>
        </w:rPr>
        <w:t>esources like</w:t>
      </w:r>
      <w:hyperlink r:id="rId5" w:history="1">
        <w:r w:rsidRPr="00FB7E6D">
          <w:rPr>
            <w:rFonts w:ascii="Times New Roman" w:eastAsia="Times New Roman" w:hAnsi="Times New Roman" w:cs="Times New Roman"/>
            <w:sz w:val="24"/>
            <w:szCs w:val="24"/>
            <w:u w:val="single"/>
          </w:rPr>
          <w:t xml:space="preserve"> UW child care connections</w:t>
        </w:r>
      </w:hyperlink>
      <w:r w:rsidRPr="00FB7E6D">
        <w:rPr>
          <w:rFonts w:ascii="Times New Roman" w:eastAsia="Times New Roman" w:hAnsi="Times New Roman" w:cs="Times New Roman"/>
          <w:sz w:val="24"/>
          <w:szCs w:val="24"/>
        </w:rPr>
        <w:t xml:space="preserve"> includ</w:t>
      </w:r>
      <w:r w:rsidR="00747E67">
        <w:rPr>
          <w:rFonts w:ascii="Times New Roman" w:eastAsia="Times New Roman" w:hAnsi="Times New Roman" w:cs="Times New Roman"/>
          <w:sz w:val="24"/>
          <w:szCs w:val="24"/>
        </w:rPr>
        <w:t>ing</w:t>
      </w:r>
      <w:r w:rsidRPr="00FB7E6D">
        <w:rPr>
          <w:rFonts w:ascii="Times New Roman" w:eastAsia="Times New Roman" w:hAnsi="Times New Roman" w:cs="Times New Roman"/>
          <w:sz w:val="24"/>
          <w:szCs w:val="24"/>
        </w:rPr>
        <w:t xml:space="preserve"> a backup care option.</w:t>
      </w:r>
    </w:p>
    <w:p w14:paraId="3BE6E10D" w14:textId="230243C1" w:rsidR="00FB7E6D" w:rsidRPr="00FB7E6D" w:rsidRDefault="00FB7E6D" w:rsidP="00FB7E6D">
      <w:pPr>
        <w:spacing w:after="0" w:line="240" w:lineRule="auto"/>
        <w:ind w:left="208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3. </w:t>
      </w:r>
      <w:r w:rsidRPr="00FB7E6D">
        <w:rPr>
          <w:rFonts w:ascii="Times New Roman" w:eastAsia="Times New Roman" w:hAnsi="Times New Roman" w:cs="Times New Roman"/>
          <w:b/>
          <w:bCs/>
          <w:sz w:val="24"/>
          <w:szCs w:val="24"/>
        </w:rPr>
        <w:t>Additional Assistance</w:t>
      </w:r>
      <w:r w:rsidRPr="00FB7E6D">
        <w:rPr>
          <w:rFonts w:ascii="Times New Roman" w:eastAsia="Times New Roman" w:hAnsi="Times New Roman" w:cs="Times New Roman"/>
          <w:sz w:val="24"/>
          <w:szCs w:val="24"/>
        </w:rPr>
        <w:t xml:space="preserve"> - Offer additional assistance to faculty such as teaching assistants and graders.</w:t>
      </w:r>
      <w:r w:rsidR="00FF6059">
        <w:rPr>
          <w:rFonts w:ascii="Times New Roman" w:eastAsia="Times New Roman" w:hAnsi="Times New Roman" w:cs="Times New Roman"/>
          <w:sz w:val="24"/>
          <w:szCs w:val="24"/>
        </w:rPr>
        <w:t xml:space="preserve"> </w:t>
      </w:r>
      <w:r w:rsidRPr="00FB7E6D">
        <w:rPr>
          <w:rFonts w:ascii="Times New Roman" w:eastAsia="Times New Roman" w:hAnsi="Times New Roman" w:cs="Times New Roman"/>
          <w:sz w:val="24"/>
          <w:szCs w:val="24"/>
        </w:rPr>
        <w:t xml:space="preserve">Unit leaders could consider working with the Graduate School and other entities on campus to </w:t>
      </w:r>
      <w:r w:rsidRPr="00FF6059">
        <w:rPr>
          <w:rFonts w:ascii="Times New Roman" w:eastAsia="Times New Roman" w:hAnsi="Times New Roman" w:cs="Times New Roman"/>
          <w:sz w:val="24"/>
          <w:szCs w:val="24"/>
        </w:rPr>
        <w:t>provide</w:t>
      </w:r>
      <w:r w:rsidR="00FF6059">
        <w:rPr>
          <w:rFonts w:ascii="Times New Roman" w:eastAsia="Times New Roman" w:hAnsi="Times New Roman" w:cs="Times New Roman"/>
          <w:sz w:val="24"/>
          <w:szCs w:val="24"/>
        </w:rPr>
        <w:t xml:space="preserve"> and fund</w:t>
      </w:r>
      <w:r w:rsidRPr="00FF6059">
        <w:rPr>
          <w:rFonts w:ascii="Times New Roman" w:eastAsia="Times New Roman" w:hAnsi="Times New Roman" w:cs="Times New Roman"/>
          <w:sz w:val="24"/>
          <w:szCs w:val="24"/>
        </w:rPr>
        <w:t xml:space="preserve"> </w:t>
      </w:r>
      <w:r w:rsidRPr="00FB7E6D">
        <w:rPr>
          <w:rFonts w:ascii="Times New Roman" w:eastAsia="Times New Roman" w:hAnsi="Times New Roman" w:cs="Times New Roman"/>
          <w:sz w:val="24"/>
          <w:szCs w:val="24"/>
        </w:rPr>
        <w:t>t</w:t>
      </w:r>
      <w:r w:rsidR="00747E67">
        <w:rPr>
          <w:rFonts w:ascii="Times New Roman" w:eastAsia="Times New Roman" w:hAnsi="Times New Roman" w:cs="Times New Roman"/>
          <w:sz w:val="24"/>
          <w:szCs w:val="24"/>
        </w:rPr>
        <w:t>his additional assistance</w:t>
      </w:r>
      <w:r w:rsidRPr="00FB7E6D">
        <w:rPr>
          <w:rFonts w:ascii="Times New Roman" w:eastAsia="Times New Roman" w:hAnsi="Times New Roman" w:cs="Times New Roman"/>
          <w:sz w:val="24"/>
          <w:szCs w:val="24"/>
        </w:rPr>
        <w:t>. </w:t>
      </w:r>
    </w:p>
    <w:p w14:paraId="23548FC8" w14:textId="7E7B965C" w:rsidR="00FB7E6D" w:rsidRPr="00FB7E6D" w:rsidRDefault="00FB7E6D" w:rsidP="00FB7E6D">
      <w:pPr>
        <w:spacing w:after="0" w:line="240" w:lineRule="auto"/>
        <w:ind w:left="208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4.   </w:t>
      </w:r>
      <w:r w:rsidRPr="00FB7E6D">
        <w:rPr>
          <w:rFonts w:ascii="Times New Roman" w:eastAsia="Times New Roman" w:hAnsi="Times New Roman" w:cs="Times New Roman"/>
          <w:b/>
          <w:bCs/>
          <w:sz w:val="24"/>
          <w:szCs w:val="24"/>
        </w:rPr>
        <w:t>Invest in resources and 5</w:t>
      </w:r>
      <w:r w:rsidR="00FF6059">
        <w:rPr>
          <w:rFonts w:ascii="Times New Roman" w:eastAsia="Times New Roman" w:hAnsi="Times New Roman" w:cs="Times New Roman"/>
          <w:b/>
          <w:bCs/>
          <w:sz w:val="24"/>
          <w:szCs w:val="24"/>
        </w:rPr>
        <w:t>-</w:t>
      </w:r>
      <w:r w:rsidRPr="00FB7E6D">
        <w:rPr>
          <w:rFonts w:ascii="Times New Roman" w:eastAsia="Times New Roman" w:hAnsi="Times New Roman" w:cs="Times New Roman"/>
          <w:b/>
          <w:bCs/>
          <w:sz w:val="24"/>
          <w:szCs w:val="24"/>
        </w:rPr>
        <w:t>minute video training on efficient grading</w:t>
      </w:r>
      <w:r w:rsidRPr="00FB7E6D">
        <w:rPr>
          <w:rFonts w:ascii="Times New Roman" w:eastAsia="Times New Roman" w:hAnsi="Times New Roman" w:cs="Times New Roman"/>
          <w:sz w:val="24"/>
          <w:szCs w:val="24"/>
        </w:rPr>
        <w:t xml:space="preserve">. Existing technology (such as </w:t>
      </w:r>
      <w:proofErr w:type="spellStart"/>
      <w:r w:rsidRPr="00FB7E6D">
        <w:rPr>
          <w:rFonts w:ascii="Times New Roman" w:eastAsia="Times New Roman" w:hAnsi="Times New Roman" w:cs="Times New Roman"/>
          <w:sz w:val="24"/>
          <w:szCs w:val="24"/>
        </w:rPr>
        <w:t>Gradescope</w:t>
      </w:r>
      <w:proofErr w:type="spellEnd"/>
      <w:r w:rsidRPr="00FB7E6D">
        <w:rPr>
          <w:rFonts w:ascii="Times New Roman" w:eastAsia="Times New Roman" w:hAnsi="Times New Roman" w:cs="Times New Roman"/>
          <w:sz w:val="24"/>
          <w:szCs w:val="24"/>
        </w:rPr>
        <w:t xml:space="preserve">) allows grading to be accomplished in an efficient manner. UW should invest in these technologies and train faculty </w:t>
      </w:r>
      <w:r w:rsidRPr="00FB7E6D">
        <w:rPr>
          <w:rFonts w:ascii="Times New Roman" w:hAnsi="Times New Roman" w:cs="Times New Roman"/>
          <w:sz w:val="24"/>
          <w:szCs w:val="24"/>
        </w:rPr>
        <w:t xml:space="preserve">how to use them. Further, short video training sessions should be shared with faculty on how to engage in </w:t>
      </w:r>
      <w:proofErr w:type="gramStart"/>
      <w:r w:rsidRPr="00FB7E6D">
        <w:rPr>
          <w:rFonts w:ascii="Times New Roman" w:hAnsi="Times New Roman" w:cs="Times New Roman"/>
          <w:sz w:val="24"/>
          <w:szCs w:val="24"/>
        </w:rPr>
        <w:t>low-stakes</w:t>
      </w:r>
      <w:proofErr w:type="gramEnd"/>
      <w:r w:rsidRPr="00FB7E6D">
        <w:rPr>
          <w:rFonts w:ascii="Times New Roman" w:hAnsi="Times New Roman" w:cs="Times New Roman"/>
          <w:sz w:val="24"/>
          <w:szCs w:val="24"/>
        </w:rPr>
        <w:t xml:space="preserve"> writing and grading practices. Prioritize the creation of 5-minute tips videos (or share existing videos) and</w:t>
      </w:r>
      <w:r w:rsidRPr="00FB7E6D">
        <w:rPr>
          <w:rFonts w:ascii="Times New Roman" w:eastAsia="Times New Roman" w:hAnsi="Times New Roman" w:cs="Times New Roman"/>
          <w:sz w:val="28"/>
          <w:szCs w:val="28"/>
        </w:rPr>
        <w:t xml:space="preserve"> </w:t>
      </w:r>
      <w:r w:rsidRPr="00FB7E6D">
        <w:rPr>
          <w:rFonts w:ascii="Times New Roman" w:eastAsia="Times New Roman" w:hAnsi="Times New Roman" w:cs="Times New Roman"/>
          <w:sz w:val="24"/>
          <w:szCs w:val="24"/>
        </w:rPr>
        <w:t>asynchronous resources that are rapidly digestible and accessible to faculty who have limited time to attend involved trainings.  </w:t>
      </w:r>
    </w:p>
    <w:p w14:paraId="7E1CC03F" w14:textId="77777777" w:rsidR="00FB7E6D" w:rsidRPr="00FB7E6D" w:rsidRDefault="00FB7E6D" w:rsidP="00FB7E6D">
      <w:pPr>
        <w:spacing w:after="0" w:line="240" w:lineRule="auto"/>
        <w:ind w:left="208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w:t>
      </w:r>
    </w:p>
    <w:p w14:paraId="300833DD" w14:textId="1A85D39D" w:rsidR="00FB7E6D" w:rsidRPr="00FB7E6D" w:rsidRDefault="00FB7E6D" w:rsidP="00747E67">
      <w:pPr>
        <w:spacing w:after="0" w:line="240" w:lineRule="auto"/>
        <w:ind w:left="72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3.</w:t>
      </w:r>
      <w:r w:rsidRPr="00FB7E6D">
        <w:rPr>
          <w:rFonts w:ascii="Times New Roman" w:eastAsia="Times New Roman" w:hAnsi="Times New Roman" w:cs="Times New Roman"/>
          <w:sz w:val="14"/>
          <w:szCs w:val="14"/>
        </w:rPr>
        <w:t xml:space="preserve">   </w:t>
      </w:r>
      <w:r w:rsidRPr="00FB7E6D">
        <w:rPr>
          <w:rFonts w:ascii="Times New Roman" w:eastAsia="Times New Roman" w:hAnsi="Times New Roman" w:cs="Times New Roman"/>
          <w:b/>
          <w:bCs/>
          <w:sz w:val="24"/>
          <w:szCs w:val="24"/>
        </w:rPr>
        <w:t xml:space="preserve">Remove Non-emergent Service Obligations.  </w:t>
      </w:r>
      <w:r w:rsidRPr="00FB7E6D">
        <w:rPr>
          <w:rFonts w:ascii="Times New Roman" w:eastAsia="Times New Roman" w:hAnsi="Times New Roman" w:cs="Times New Roman"/>
          <w:sz w:val="24"/>
          <w:szCs w:val="24"/>
        </w:rPr>
        <w:t xml:space="preserve">During this time, all non-essential service activities should be suspended or canceled. </w:t>
      </w:r>
      <w:r w:rsidR="00160891" w:rsidRPr="00FB7E6D">
        <w:rPr>
          <w:rFonts w:ascii="Times New Roman" w:eastAsia="Times New Roman" w:hAnsi="Times New Roman" w:cs="Times New Roman"/>
          <w:sz w:val="24"/>
          <w:szCs w:val="24"/>
        </w:rPr>
        <w:t>Pause or defer all responsibilities of administrative roles when possible</w:t>
      </w:r>
      <w:r w:rsidR="00160891">
        <w:rPr>
          <w:rFonts w:ascii="Times New Roman" w:eastAsia="Times New Roman" w:hAnsi="Times New Roman" w:cs="Times New Roman"/>
          <w:sz w:val="24"/>
          <w:szCs w:val="24"/>
        </w:rPr>
        <w:t xml:space="preserve">. </w:t>
      </w:r>
      <w:r w:rsidR="00747E67" w:rsidRPr="00FB7E6D">
        <w:rPr>
          <w:rFonts w:ascii="Times New Roman" w:eastAsia="Times New Roman" w:hAnsi="Times New Roman" w:cs="Times New Roman"/>
          <w:sz w:val="24"/>
          <w:szCs w:val="24"/>
        </w:rPr>
        <w:t xml:space="preserve">Note that all service related to equity and inclusion, as COVID-19 directly impacts equity, is deemed essential at this time. </w:t>
      </w:r>
      <w:r w:rsidR="00160891" w:rsidRPr="00FB7E6D">
        <w:rPr>
          <w:rFonts w:ascii="Times New Roman" w:eastAsia="Times New Roman" w:hAnsi="Times New Roman" w:cs="Times New Roman"/>
          <w:sz w:val="24"/>
          <w:szCs w:val="24"/>
        </w:rPr>
        <w:t>Empower faculty to address which responsibilities can be delayed and determine new due dates.</w:t>
      </w:r>
      <w:r w:rsidR="00160891">
        <w:rPr>
          <w:rFonts w:ascii="Times New Roman" w:eastAsia="Times New Roman" w:hAnsi="Times New Roman" w:cs="Times New Roman"/>
          <w:sz w:val="24"/>
          <w:szCs w:val="24"/>
        </w:rPr>
        <w:t xml:space="preserve"> </w:t>
      </w:r>
      <w:r w:rsidR="00160891" w:rsidRPr="004C7213">
        <w:rPr>
          <w:rFonts w:ascii="Times New Roman" w:eastAsia="Times New Roman" w:hAnsi="Times New Roman" w:cs="Times New Roman"/>
          <w:sz w:val="24"/>
          <w:szCs w:val="24"/>
        </w:rPr>
        <w:t>W</w:t>
      </w:r>
      <w:r w:rsidR="00160891" w:rsidRPr="009D4AE9">
        <w:rPr>
          <w:rFonts w:ascii="Times New Roman" w:eastAsia="Times New Roman" w:hAnsi="Times New Roman" w:cs="Times New Roman"/>
          <w:sz w:val="24"/>
          <w:szCs w:val="24"/>
        </w:rPr>
        <w:t>hen decision-making cannot be delayed allow the instructor to appoint a substitute</w:t>
      </w:r>
      <w:r w:rsidR="00160891" w:rsidRPr="00FB7E6D">
        <w:rPr>
          <w:rFonts w:ascii="Times New Roman" w:eastAsia="Times New Roman" w:hAnsi="Times New Roman" w:cs="Times New Roman"/>
          <w:sz w:val="24"/>
          <w:szCs w:val="24"/>
        </w:rPr>
        <w:t xml:space="preserve">. </w:t>
      </w:r>
      <w:r w:rsidR="00160891">
        <w:rPr>
          <w:rFonts w:ascii="Times New Roman" w:eastAsia="Times New Roman" w:hAnsi="Times New Roman" w:cs="Times New Roman"/>
          <w:sz w:val="24"/>
          <w:szCs w:val="24"/>
        </w:rPr>
        <w:t>Also, d</w:t>
      </w:r>
      <w:r w:rsidR="00747E67" w:rsidRPr="00FB7E6D">
        <w:rPr>
          <w:rFonts w:ascii="Times New Roman" w:eastAsia="Times New Roman" w:hAnsi="Times New Roman" w:cs="Times New Roman"/>
          <w:sz w:val="24"/>
          <w:szCs w:val="24"/>
        </w:rPr>
        <w:t xml:space="preserve">elay or cancel nonessential events and do not require participation for events that are not canceled. </w:t>
      </w:r>
      <w:r w:rsidR="00160891" w:rsidRPr="00FB7E6D">
        <w:rPr>
          <w:rFonts w:ascii="Times New Roman" w:eastAsia="Times New Roman" w:hAnsi="Times New Roman" w:cs="Times New Roman"/>
          <w:sz w:val="24"/>
          <w:szCs w:val="24"/>
        </w:rPr>
        <w:t xml:space="preserve">Allow faculty to determine their own level of participation in events without experiencing negative consequences.  </w:t>
      </w:r>
    </w:p>
    <w:p w14:paraId="45BA6C3E" w14:textId="77777777" w:rsidR="00FB7E6D" w:rsidRPr="00FB7E6D" w:rsidRDefault="00FB7E6D" w:rsidP="00FB7E6D">
      <w:pPr>
        <w:spacing w:after="0" w:line="240" w:lineRule="auto"/>
        <w:ind w:left="72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w:t>
      </w:r>
    </w:p>
    <w:p w14:paraId="1BD760E4" w14:textId="1B13E735" w:rsidR="00FB7E6D" w:rsidRPr="00FB7E6D" w:rsidRDefault="00FB7E6D" w:rsidP="00FB7E6D">
      <w:pPr>
        <w:spacing w:after="0" w:line="240" w:lineRule="auto"/>
        <w:ind w:left="72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4.</w:t>
      </w:r>
      <w:r w:rsidRPr="00FB7E6D">
        <w:rPr>
          <w:rFonts w:ascii="Times New Roman" w:eastAsia="Times New Roman" w:hAnsi="Times New Roman" w:cs="Times New Roman"/>
          <w:sz w:val="14"/>
          <w:szCs w:val="14"/>
        </w:rPr>
        <w:t xml:space="preserve">   </w:t>
      </w:r>
      <w:r w:rsidRPr="00FB7E6D">
        <w:rPr>
          <w:rFonts w:ascii="Times New Roman" w:eastAsia="Times New Roman" w:hAnsi="Times New Roman" w:cs="Times New Roman"/>
          <w:b/>
          <w:bCs/>
          <w:sz w:val="24"/>
          <w:szCs w:val="24"/>
        </w:rPr>
        <w:t xml:space="preserve">Reallocate a High Level Administrator’s time to Faculty Wellness and Career </w:t>
      </w:r>
      <w:proofErr w:type="gramStart"/>
      <w:r w:rsidRPr="00FB7E6D">
        <w:rPr>
          <w:rFonts w:ascii="Times New Roman" w:eastAsia="Times New Roman" w:hAnsi="Times New Roman" w:cs="Times New Roman"/>
          <w:b/>
          <w:bCs/>
          <w:sz w:val="24"/>
          <w:szCs w:val="24"/>
        </w:rPr>
        <w:t>Development.</w:t>
      </w:r>
      <w:r w:rsidRPr="00FB7E6D">
        <w:rPr>
          <w:rFonts w:ascii="Times New Roman" w:eastAsia="Times New Roman" w:hAnsi="Times New Roman" w:cs="Times New Roman"/>
          <w:sz w:val="24"/>
          <w:szCs w:val="24"/>
        </w:rPr>
        <w:t>.</w:t>
      </w:r>
      <w:proofErr w:type="gramEnd"/>
      <w:r w:rsidRPr="00FB7E6D">
        <w:rPr>
          <w:rFonts w:ascii="Times New Roman" w:eastAsia="Times New Roman" w:hAnsi="Times New Roman" w:cs="Times New Roman"/>
          <w:sz w:val="24"/>
          <w:szCs w:val="24"/>
        </w:rPr>
        <w:t xml:space="preserve"> The consequences of this crisis on wellness, equity, and career development could endure a decade or more. Reallocating an existing administrator's time to wellness and career development will allow the UW to have a high</w:t>
      </w:r>
      <w:r w:rsidR="00FF6059">
        <w:rPr>
          <w:rFonts w:ascii="Times New Roman" w:eastAsia="Times New Roman" w:hAnsi="Times New Roman" w:cs="Times New Roman"/>
          <w:sz w:val="24"/>
          <w:szCs w:val="24"/>
        </w:rPr>
        <w:t>-</w:t>
      </w:r>
      <w:r w:rsidRPr="00FB7E6D">
        <w:rPr>
          <w:rFonts w:ascii="Times New Roman" w:eastAsia="Times New Roman" w:hAnsi="Times New Roman" w:cs="Times New Roman"/>
          <w:sz w:val="24"/>
          <w:szCs w:val="24"/>
        </w:rPr>
        <w:t>level administrator to proactively monitor and address these challenges. Providing funding to support local monitoring and implementation will ensure each campus has clear leadership on this issue. All existing bodies charged with addressing equity and wellness across campuses should be engaged in this work</w:t>
      </w:r>
      <w:r w:rsidR="00FF6059">
        <w:rPr>
          <w:rFonts w:ascii="Times New Roman" w:eastAsia="Times New Roman" w:hAnsi="Times New Roman" w:cs="Times New Roman"/>
          <w:sz w:val="24"/>
          <w:szCs w:val="24"/>
        </w:rPr>
        <w:t>,</w:t>
      </w:r>
      <w:r w:rsidRPr="00FB7E6D">
        <w:rPr>
          <w:rFonts w:ascii="Times New Roman" w:eastAsia="Times New Roman" w:hAnsi="Times New Roman" w:cs="Times New Roman"/>
          <w:sz w:val="24"/>
          <w:szCs w:val="24"/>
        </w:rPr>
        <w:t xml:space="preserve"> as well</w:t>
      </w:r>
      <w:r w:rsidR="00FF6059">
        <w:rPr>
          <w:rFonts w:ascii="Times New Roman" w:eastAsia="Times New Roman" w:hAnsi="Times New Roman" w:cs="Times New Roman"/>
          <w:sz w:val="24"/>
          <w:szCs w:val="24"/>
        </w:rPr>
        <w:t>,</w:t>
      </w:r>
      <w:r w:rsidRPr="00FB7E6D">
        <w:rPr>
          <w:rFonts w:ascii="Times New Roman" w:eastAsia="Times New Roman" w:hAnsi="Times New Roman" w:cs="Times New Roman"/>
          <w:sz w:val="24"/>
          <w:szCs w:val="24"/>
        </w:rPr>
        <w:t> and the administrator could focus efforts and provide updates to these groups (e.g., Diversity Councils, Offices of Equity and Inclusion, Well-being for Life and Learning Initiative).  </w:t>
      </w:r>
    </w:p>
    <w:p w14:paraId="30ACC08E" w14:textId="3339DA7E" w:rsidR="00FB7E6D" w:rsidRPr="00FB7E6D" w:rsidRDefault="00FB7E6D" w:rsidP="00FB7E6D">
      <w:pPr>
        <w:spacing w:after="0" w:line="240" w:lineRule="auto"/>
        <w:ind w:left="144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A.</w:t>
      </w:r>
      <w:r w:rsidRPr="00FB7E6D">
        <w:rPr>
          <w:rFonts w:ascii="Times New Roman" w:eastAsia="Times New Roman" w:hAnsi="Times New Roman" w:cs="Times New Roman"/>
          <w:sz w:val="14"/>
          <w:szCs w:val="14"/>
        </w:rPr>
        <w:t xml:space="preserve">   </w:t>
      </w:r>
      <w:r w:rsidRPr="00FB7E6D">
        <w:rPr>
          <w:rFonts w:ascii="Times New Roman" w:eastAsia="Times New Roman" w:hAnsi="Times New Roman" w:cs="Times New Roman"/>
          <w:b/>
          <w:bCs/>
          <w:sz w:val="24"/>
          <w:szCs w:val="24"/>
        </w:rPr>
        <w:t>Wellness</w:t>
      </w:r>
      <w:r w:rsidRPr="00FB7E6D">
        <w:rPr>
          <w:rFonts w:ascii="Times New Roman" w:eastAsia="Times New Roman" w:hAnsi="Times New Roman" w:cs="Times New Roman"/>
          <w:sz w:val="24"/>
          <w:szCs w:val="24"/>
        </w:rPr>
        <w:t xml:space="preserve">. UW requires a high-level administrator to proactively consider the wellness of all individuals on campus. This administrator should be responsible for convening related bodies (Resilience Lab, Well-being for Life and Learning, Counseling Centers) to share best practices and communicate and focus efforts. Faculty have experienced their own trauma during this crisis, as well as vicariously experienced the trauma of others. Many </w:t>
      </w:r>
      <w:r w:rsidR="00160891">
        <w:rPr>
          <w:rFonts w:ascii="Times New Roman" w:eastAsia="Times New Roman" w:hAnsi="Times New Roman" w:cs="Times New Roman"/>
          <w:sz w:val="24"/>
          <w:szCs w:val="24"/>
        </w:rPr>
        <w:t>instructors</w:t>
      </w:r>
      <w:r w:rsidRPr="00FB7E6D">
        <w:rPr>
          <w:rFonts w:ascii="Times New Roman" w:eastAsia="Times New Roman" w:hAnsi="Times New Roman" w:cs="Times New Roman"/>
          <w:sz w:val="24"/>
          <w:szCs w:val="24"/>
        </w:rPr>
        <w:t xml:space="preserve"> are carrying this additional burden without reprieve. Burnout and turnover are possible consequences of this additional trauma, fatigue, and stress stemming from this crisis. </w:t>
      </w:r>
    </w:p>
    <w:p w14:paraId="6E63C420" w14:textId="596EFC68" w:rsidR="00FB7E6D" w:rsidRPr="00FB7E6D" w:rsidRDefault="00FB7E6D" w:rsidP="00FB7E6D">
      <w:pPr>
        <w:spacing w:after="0" w:line="240" w:lineRule="auto"/>
        <w:ind w:left="144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lastRenderedPageBreak/>
        <w:t xml:space="preserve">B. </w:t>
      </w:r>
      <w:r w:rsidRPr="00FB7E6D">
        <w:rPr>
          <w:rFonts w:ascii="Times New Roman" w:eastAsia="Times New Roman" w:hAnsi="Times New Roman" w:cs="Times New Roman"/>
          <w:b/>
          <w:bCs/>
          <w:sz w:val="24"/>
          <w:szCs w:val="24"/>
        </w:rPr>
        <w:t>Career equity</w:t>
      </w:r>
      <w:r w:rsidRPr="00FB7E6D">
        <w:rPr>
          <w:rFonts w:ascii="Times New Roman" w:eastAsia="Times New Roman" w:hAnsi="Times New Roman" w:cs="Times New Roman"/>
          <w:sz w:val="24"/>
          <w:szCs w:val="24"/>
        </w:rPr>
        <w:t xml:space="preserve">. Many faculty face significant challenges during this crisis (e.g., those who are caregivers, those who conduct research or engage in work in diversity spaces, and those who have become ill or have cared for family members who are ill). Other faculty are not experiencing these same challenges and have remained productive. </w:t>
      </w:r>
      <w:r w:rsidR="00160891" w:rsidRPr="00FB7E6D">
        <w:rPr>
          <w:rFonts w:ascii="Times New Roman" w:eastAsia="Times New Roman" w:hAnsi="Times New Roman" w:cs="Times New Roman"/>
          <w:sz w:val="24"/>
          <w:szCs w:val="24"/>
        </w:rPr>
        <w:t>UW requires a high-level administrator to proactively address and help eliminate the inequities that will inevitably arise from these different experiences. </w:t>
      </w:r>
      <w:r w:rsidRPr="00FB7E6D">
        <w:rPr>
          <w:rFonts w:ascii="Times New Roman" w:eastAsia="Times New Roman" w:hAnsi="Times New Roman" w:cs="Times New Roman"/>
          <w:sz w:val="24"/>
          <w:szCs w:val="24"/>
        </w:rPr>
        <w:t xml:space="preserve">As part of annual reporting, each unit is expected to provide evidence that they are identifying and </w:t>
      </w:r>
      <w:proofErr w:type="gramStart"/>
      <w:r w:rsidRPr="00FB7E6D">
        <w:rPr>
          <w:rFonts w:ascii="Times New Roman" w:eastAsia="Times New Roman" w:hAnsi="Times New Roman" w:cs="Times New Roman"/>
          <w:sz w:val="24"/>
          <w:szCs w:val="24"/>
        </w:rPr>
        <w:t>making adjustments to</w:t>
      </w:r>
      <w:proofErr w:type="gramEnd"/>
      <w:r w:rsidRPr="00FB7E6D">
        <w:rPr>
          <w:rFonts w:ascii="Times New Roman" w:eastAsia="Times New Roman" w:hAnsi="Times New Roman" w:cs="Times New Roman"/>
          <w:sz w:val="24"/>
          <w:szCs w:val="24"/>
        </w:rPr>
        <w:t xml:space="preserve"> support caregivers impacted by this crisis. In addition to administrators providing their record</w:t>
      </w:r>
      <w:r w:rsidRPr="00FB7E6D">
        <w:rPr>
          <w:rFonts w:ascii="Times New Roman" w:hAnsi="Times New Roman" w:cs="Times New Roman"/>
          <w:sz w:val="24"/>
          <w:szCs w:val="24"/>
        </w:rPr>
        <w:t>, UW should have</w:t>
      </w:r>
      <w:r w:rsidRPr="00FB7E6D">
        <w:rPr>
          <w:rFonts w:ascii="Times New Roman" w:eastAsia="Times New Roman" w:hAnsi="Times New Roman" w:cs="Times New Roman"/>
          <w:sz w:val="28"/>
          <w:szCs w:val="28"/>
        </w:rPr>
        <w:t xml:space="preserve"> </w:t>
      </w:r>
      <w:r w:rsidRPr="00FB7E6D">
        <w:rPr>
          <w:rFonts w:ascii="Times New Roman" w:eastAsia="Times New Roman" w:hAnsi="Times New Roman" w:cs="Times New Roman"/>
          <w:sz w:val="24"/>
          <w:szCs w:val="24"/>
        </w:rPr>
        <w:t xml:space="preserve">an open call for individual faculty to submit letters speaking to the support they are </w:t>
      </w:r>
      <w:proofErr w:type="gramStart"/>
      <w:r w:rsidRPr="00FB7E6D">
        <w:rPr>
          <w:rFonts w:ascii="Times New Roman" w:eastAsia="Times New Roman" w:hAnsi="Times New Roman" w:cs="Times New Roman"/>
          <w:sz w:val="24"/>
          <w:szCs w:val="24"/>
        </w:rPr>
        <w:t>receiving</w:t>
      </w:r>
      <w:proofErr w:type="gramEnd"/>
      <w:r w:rsidRPr="00FB7E6D">
        <w:rPr>
          <w:rFonts w:ascii="Times New Roman" w:eastAsia="Times New Roman" w:hAnsi="Times New Roman" w:cs="Times New Roman"/>
          <w:sz w:val="24"/>
          <w:szCs w:val="24"/>
        </w:rPr>
        <w:t xml:space="preserve"> and adjustments m</w:t>
      </w:r>
      <w:r w:rsidR="00160891">
        <w:rPr>
          <w:rFonts w:ascii="Times New Roman" w:eastAsia="Times New Roman" w:hAnsi="Times New Roman" w:cs="Times New Roman"/>
          <w:sz w:val="24"/>
          <w:szCs w:val="24"/>
        </w:rPr>
        <w:t>ade</w:t>
      </w:r>
      <w:r w:rsidRPr="00FB7E6D">
        <w:rPr>
          <w:rFonts w:ascii="Times New Roman" w:eastAsia="Times New Roman" w:hAnsi="Times New Roman" w:cs="Times New Roman"/>
          <w:sz w:val="24"/>
          <w:szCs w:val="24"/>
        </w:rPr>
        <w:t xml:space="preserve">. These will be reviewed and aggregate anonymized summaries </w:t>
      </w:r>
      <w:r w:rsidR="009D4AE9">
        <w:rPr>
          <w:rFonts w:ascii="Times New Roman" w:eastAsia="Times New Roman" w:hAnsi="Times New Roman" w:cs="Times New Roman"/>
          <w:sz w:val="24"/>
          <w:szCs w:val="24"/>
        </w:rPr>
        <w:t xml:space="preserve">by campus </w:t>
      </w:r>
      <w:r w:rsidRPr="00FB7E6D">
        <w:rPr>
          <w:rFonts w:ascii="Times New Roman" w:eastAsia="Times New Roman" w:hAnsi="Times New Roman" w:cs="Times New Roman"/>
          <w:sz w:val="24"/>
          <w:szCs w:val="24"/>
        </w:rPr>
        <w:t xml:space="preserve">will be made publicly available. </w:t>
      </w:r>
    </w:p>
    <w:p w14:paraId="0467F6D7" w14:textId="0BAF80C9" w:rsidR="00FB7E6D" w:rsidRPr="00FB7E6D" w:rsidRDefault="00FB7E6D" w:rsidP="00FB7E6D">
      <w:pPr>
        <w:spacing w:after="240" w:line="240" w:lineRule="auto"/>
        <w:ind w:left="720" w:hanging="260"/>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5. </w:t>
      </w:r>
      <w:r w:rsidRPr="00FB7E6D">
        <w:rPr>
          <w:rFonts w:ascii="Times New Roman" w:eastAsia="Times New Roman" w:hAnsi="Times New Roman" w:cs="Times New Roman"/>
          <w:b/>
          <w:bCs/>
          <w:sz w:val="24"/>
          <w:szCs w:val="24"/>
        </w:rPr>
        <w:t>Publicize Data to the UW Community showing statistics for salient outcomes</w:t>
      </w:r>
      <w:r w:rsidRPr="00FB7E6D">
        <w:rPr>
          <w:rFonts w:ascii="Times New Roman" w:eastAsia="Times New Roman" w:hAnsi="Times New Roman" w:cs="Times New Roman"/>
          <w:sz w:val="24"/>
          <w:szCs w:val="24"/>
        </w:rPr>
        <w:t xml:space="preserve"> (e.g., pay, promotion, performance evaluations, teaching evaluations</w:t>
      </w:r>
      <w:r w:rsidR="004E17E2">
        <w:rPr>
          <w:rFonts w:ascii="Times New Roman" w:eastAsia="Times New Roman" w:hAnsi="Times New Roman" w:cs="Times New Roman"/>
          <w:sz w:val="24"/>
          <w:szCs w:val="24"/>
        </w:rPr>
        <w:t>, service obligations</w:t>
      </w:r>
      <w:r w:rsidRPr="00FB7E6D">
        <w:rPr>
          <w:rFonts w:ascii="Times New Roman" w:eastAsia="Times New Roman" w:hAnsi="Times New Roman" w:cs="Times New Roman"/>
          <w:sz w:val="24"/>
          <w:szCs w:val="24"/>
        </w:rPr>
        <w:t>) by caregiver status during the COVID crisis, and for other demographic groups who are disproportionately impacted during this crisis (e.g., race/ethnicity, gender, and disability status). This will provide important information regarding if our equity goals are being translated into meaningful outcomes for affected faculty.</w:t>
      </w:r>
    </w:p>
    <w:p w14:paraId="23754949" w14:textId="69E39886"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WHEREAS, research demonstrates that individuals have implicit biases or unconscious preferences based on demographic group membership (e.g., </w:t>
      </w:r>
      <w:r w:rsidRPr="00FB7E6D">
        <w:rPr>
          <w:rFonts w:ascii="Times New Roman" w:eastAsia="Times New Roman" w:hAnsi="Times New Roman" w:cs="Times New Roman"/>
          <w:sz w:val="24"/>
          <w:szCs w:val="24"/>
          <w:shd w:val="clear" w:color="auto" w:fill="FFFFFF"/>
        </w:rPr>
        <w:t xml:space="preserve">Greenwald, </w:t>
      </w:r>
      <w:proofErr w:type="spellStart"/>
      <w:r w:rsidRPr="00FB7E6D">
        <w:rPr>
          <w:rFonts w:ascii="Times New Roman" w:eastAsia="Times New Roman" w:hAnsi="Times New Roman" w:cs="Times New Roman"/>
          <w:sz w:val="24"/>
          <w:szCs w:val="24"/>
          <w:shd w:val="clear" w:color="auto" w:fill="FFFFFF"/>
        </w:rPr>
        <w:t>Poehlman</w:t>
      </w:r>
      <w:proofErr w:type="spellEnd"/>
      <w:r w:rsidRPr="00FB7E6D">
        <w:rPr>
          <w:rFonts w:ascii="Times New Roman" w:eastAsia="Times New Roman" w:hAnsi="Times New Roman" w:cs="Times New Roman"/>
          <w:sz w:val="24"/>
          <w:szCs w:val="24"/>
          <w:shd w:val="clear" w:color="auto" w:fill="FFFFFF"/>
        </w:rPr>
        <w:t>, Uhlmann, &amp; Banaji, 2009)</w:t>
      </w:r>
      <w:r w:rsidRPr="00FB7E6D">
        <w:rPr>
          <w:rFonts w:ascii="Times New Roman" w:eastAsia="Times New Roman" w:hAnsi="Times New Roman" w:cs="Times New Roman"/>
          <w:sz w:val="24"/>
          <w:szCs w:val="24"/>
        </w:rPr>
        <w:t xml:space="preserve">; and, these implicit biases lead to systematic outcome differences (e.g., </w:t>
      </w:r>
      <w:r w:rsidRPr="00FB7E6D">
        <w:rPr>
          <w:rFonts w:ascii="Times New Roman" w:eastAsia="Times New Roman" w:hAnsi="Times New Roman" w:cs="Times New Roman"/>
          <w:sz w:val="24"/>
          <w:szCs w:val="24"/>
          <w:shd w:val="clear" w:color="auto" w:fill="FFFFFF"/>
        </w:rPr>
        <w:t>Rudman &amp; Ashmore (2007)</w:t>
      </w:r>
      <w:r w:rsidRPr="00FB7E6D">
        <w:rPr>
          <w:rFonts w:ascii="Times New Roman" w:eastAsia="Times New Roman" w:hAnsi="Times New Roman" w:cs="Times New Roman"/>
          <w:sz w:val="24"/>
          <w:szCs w:val="24"/>
        </w:rPr>
        <w:t xml:space="preserve">. As they are unconscious, these implicit biases are not likely to be apparent to the decision-maker and are not likely to be explicitly articulated to others. This creates a situation in which a decision-maker could inadvertently allocate compensation and other outcomes to employees based on protected demographic membership. </w:t>
      </w:r>
      <w:r w:rsidR="00C469BC">
        <w:rPr>
          <w:rFonts w:ascii="Times New Roman" w:eastAsia="Times New Roman" w:hAnsi="Times New Roman" w:cs="Times New Roman"/>
          <w:sz w:val="24"/>
          <w:szCs w:val="24"/>
        </w:rPr>
        <w:t xml:space="preserve">Such outcome differences could create and exacerbate inequity for </w:t>
      </w:r>
      <w:r w:rsidR="00F16A9A">
        <w:rPr>
          <w:rFonts w:ascii="Times New Roman" w:eastAsia="Times New Roman" w:hAnsi="Times New Roman" w:cs="Times New Roman"/>
          <w:sz w:val="24"/>
          <w:szCs w:val="24"/>
        </w:rPr>
        <w:t xml:space="preserve">faculty. </w:t>
      </w:r>
      <w:r w:rsidR="00C469BC">
        <w:rPr>
          <w:rFonts w:ascii="Times New Roman" w:eastAsia="Times New Roman" w:hAnsi="Times New Roman" w:cs="Times New Roman"/>
          <w:sz w:val="24"/>
          <w:szCs w:val="24"/>
        </w:rPr>
        <w:t>For example, Princeton University agreed to pay almost $1.2 million to settle an investigation from the U.S. Department of Labor that suggested that female full professors were paid less than their male equivalents</w:t>
      </w:r>
      <w:r w:rsidR="00F16A9A">
        <w:rPr>
          <w:rFonts w:ascii="Times New Roman" w:eastAsia="Times New Roman" w:hAnsi="Times New Roman" w:cs="Times New Roman"/>
          <w:sz w:val="24"/>
          <w:szCs w:val="24"/>
        </w:rPr>
        <w:t xml:space="preserve"> (de León, 2020)</w:t>
      </w:r>
      <w:r w:rsidR="00C469BC">
        <w:rPr>
          <w:rFonts w:ascii="Times New Roman" w:eastAsia="Times New Roman" w:hAnsi="Times New Roman" w:cs="Times New Roman"/>
          <w:sz w:val="24"/>
          <w:szCs w:val="24"/>
        </w:rPr>
        <w:t xml:space="preserve">. </w:t>
      </w:r>
      <w:r w:rsidRPr="00FB7E6D">
        <w:rPr>
          <w:rFonts w:ascii="Times New Roman" w:eastAsia="Times New Roman" w:hAnsi="Times New Roman" w:cs="Times New Roman"/>
          <w:sz w:val="24"/>
          <w:szCs w:val="24"/>
        </w:rPr>
        <w:t>The COVID-19 pandemic creates a situation in which these implicit biases could operate to further create systematic outcome differences based on demographic group membership. </w:t>
      </w:r>
    </w:p>
    <w:p w14:paraId="65892B51"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w:t>
      </w:r>
      <w:proofErr w:type="gramStart"/>
      <w:r w:rsidRPr="00FB7E6D">
        <w:rPr>
          <w:rFonts w:ascii="Times New Roman" w:eastAsia="Times New Roman" w:hAnsi="Times New Roman" w:cs="Times New Roman"/>
          <w:sz w:val="24"/>
          <w:szCs w:val="24"/>
        </w:rPr>
        <w:t>WHEREAS,</w:t>
      </w:r>
      <w:proofErr w:type="gramEnd"/>
      <w:r w:rsidRPr="00FB7E6D">
        <w:rPr>
          <w:rFonts w:ascii="Times New Roman" w:eastAsia="Times New Roman" w:hAnsi="Times New Roman" w:cs="Times New Roman"/>
          <w:sz w:val="24"/>
          <w:szCs w:val="24"/>
        </w:rPr>
        <w:t xml:space="preserve"> the UW Campus Climate Assessment conducted in the Autumn of 2019 </w:t>
      </w:r>
      <w:r w:rsidRPr="00FB7E6D">
        <w:rPr>
          <w:rFonts w:ascii="Times New Roman" w:eastAsia="Times New Roman" w:hAnsi="Times New Roman" w:cs="Times New Roman"/>
          <w:b/>
          <w:bCs/>
          <w:sz w:val="24"/>
          <w:szCs w:val="24"/>
        </w:rPr>
        <w:t>prior to the onset of COVID</w:t>
      </w:r>
      <w:r w:rsidRPr="00FB7E6D">
        <w:rPr>
          <w:rFonts w:ascii="Times New Roman" w:eastAsia="Times New Roman" w:hAnsi="Times New Roman" w:cs="Times New Roman"/>
          <w:sz w:val="24"/>
          <w:szCs w:val="24"/>
        </w:rPr>
        <w:t xml:space="preserve"> </w:t>
      </w:r>
      <w:r w:rsidRPr="00FB7E6D">
        <w:rPr>
          <w:rFonts w:ascii="Times New Roman" w:eastAsia="Times New Roman" w:hAnsi="Times New Roman" w:cs="Times New Roman"/>
          <w:b/>
          <w:bCs/>
          <w:sz w:val="24"/>
          <w:szCs w:val="24"/>
        </w:rPr>
        <w:t>pandemic</w:t>
      </w:r>
      <w:r w:rsidRPr="00FB7E6D">
        <w:rPr>
          <w:rFonts w:ascii="Times New Roman" w:eastAsia="Times New Roman" w:hAnsi="Times New Roman" w:cs="Times New Roman"/>
          <w:sz w:val="24"/>
          <w:szCs w:val="24"/>
        </w:rPr>
        <w:t xml:space="preserve"> demonstrated men versus women faculty viewed the tenure/promotion process more positively and that childcare was a significant issue on campus. Specifically, the results indicated that men versus women faculty were more likely to agree that the standards for tenure were clear and that the standards for promotion/tenure were applied equally to faculty in their schools/divisions (Rankin &amp; Associates Consulting, page 288-289). Further, the report showed that men versus women were more likely to agree that faculty who qualify for delaying their tenure clock felt empowered to do so. Only 25% of faculty respondents agreed that UW Seattle “provided adequate resources to help them manage work-life balance (e.g., child care, wellness services, elder care)” (Rankin &amp; Associates Consulting, page 307); and, lack of support for child care was a theme that emerged from participants’ qualitative responses (page 316). These results suggest that prior to the COVID pandemic gender differences in the promotion process were perceived and that childcare support was a significant issue. </w:t>
      </w:r>
    </w:p>
    <w:p w14:paraId="5A4FAC4C"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proofErr w:type="gramStart"/>
      <w:r w:rsidRPr="00FB7E6D">
        <w:rPr>
          <w:rFonts w:ascii="Times New Roman" w:eastAsia="Times New Roman" w:hAnsi="Times New Roman" w:cs="Times New Roman"/>
          <w:sz w:val="24"/>
          <w:szCs w:val="24"/>
        </w:rPr>
        <w:lastRenderedPageBreak/>
        <w:t>WHEREAS,</w:t>
      </w:r>
      <w:proofErr w:type="gramEnd"/>
      <w:r w:rsidRPr="00FB7E6D">
        <w:rPr>
          <w:rFonts w:ascii="Times New Roman" w:eastAsia="Times New Roman" w:hAnsi="Times New Roman" w:cs="Times New Roman"/>
          <w:sz w:val="24"/>
          <w:szCs w:val="24"/>
        </w:rPr>
        <w:t xml:space="preserve"> research suggests that including objective factors such as analyzing salient outcomes by demographic group membership can help to correct for decision errors due to implicit bias (Banaji, Bazerman, &amp; </w:t>
      </w:r>
      <w:proofErr w:type="spellStart"/>
      <w:r w:rsidRPr="00FB7E6D">
        <w:rPr>
          <w:rFonts w:ascii="Times New Roman" w:eastAsia="Times New Roman" w:hAnsi="Times New Roman" w:cs="Times New Roman"/>
          <w:sz w:val="24"/>
          <w:szCs w:val="24"/>
        </w:rPr>
        <w:t>Chugh</w:t>
      </w:r>
      <w:proofErr w:type="spellEnd"/>
      <w:r w:rsidRPr="00FB7E6D">
        <w:rPr>
          <w:rFonts w:ascii="Times New Roman" w:eastAsia="Times New Roman" w:hAnsi="Times New Roman" w:cs="Times New Roman"/>
          <w:sz w:val="24"/>
          <w:szCs w:val="24"/>
        </w:rPr>
        <w:t>, 2003). In addition, pay disparity based on demographic group membership decreases when organizations are required to disclose outcome disparities (</w:t>
      </w:r>
      <w:proofErr w:type="spellStart"/>
      <w:r w:rsidRPr="00FB7E6D">
        <w:rPr>
          <w:rFonts w:ascii="Times New Roman" w:eastAsia="Times New Roman" w:hAnsi="Times New Roman" w:cs="Times New Roman"/>
          <w:sz w:val="24"/>
          <w:szCs w:val="24"/>
        </w:rPr>
        <w:t>Bennedsen</w:t>
      </w:r>
      <w:proofErr w:type="spellEnd"/>
      <w:r w:rsidRPr="00FB7E6D">
        <w:rPr>
          <w:rFonts w:ascii="Times New Roman" w:eastAsia="Times New Roman" w:hAnsi="Times New Roman" w:cs="Times New Roman"/>
          <w:sz w:val="24"/>
          <w:szCs w:val="24"/>
        </w:rPr>
        <w:t xml:space="preserve">, </w:t>
      </w:r>
      <w:proofErr w:type="spellStart"/>
      <w:r w:rsidRPr="00FB7E6D">
        <w:rPr>
          <w:rFonts w:ascii="Times New Roman" w:eastAsia="Times New Roman" w:hAnsi="Times New Roman" w:cs="Times New Roman"/>
          <w:sz w:val="24"/>
          <w:szCs w:val="24"/>
        </w:rPr>
        <w:t>Simintzi</w:t>
      </w:r>
      <w:proofErr w:type="spellEnd"/>
      <w:r w:rsidRPr="00FB7E6D">
        <w:rPr>
          <w:rFonts w:ascii="Times New Roman" w:eastAsia="Times New Roman" w:hAnsi="Times New Roman" w:cs="Times New Roman"/>
          <w:sz w:val="24"/>
          <w:szCs w:val="24"/>
        </w:rPr>
        <w:t xml:space="preserve">, </w:t>
      </w:r>
      <w:proofErr w:type="spellStart"/>
      <w:r w:rsidRPr="00FB7E6D">
        <w:rPr>
          <w:rFonts w:ascii="Times New Roman" w:eastAsia="Times New Roman" w:hAnsi="Times New Roman" w:cs="Times New Roman"/>
          <w:sz w:val="24"/>
          <w:szCs w:val="24"/>
        </w:rPr>
        <w:t>Tsoutsoura</w:t>
      </w:r>
      <w:proofErr w:type="spellEnd"/>
      <w:r w:rsidRPr="00FB7E6D">
        <w:rPr>
          <w:rFonts w:ascii="Times New Roman" w:eastAsia="Times New Roman" w:hAnsi="Times New Roman" w:cs="Times New Roman"/>
          <w:sz w:val="24"/>
          <w:szCs w:val="24"/>
        </w:rPr>
        <w:t xml:space="preserve">, &amp; </w:t>
      </w:r>
      <w:proofErr w:type="spellStart"/>
      <w:r w:rsidRPr="00FB7E6D">
        <w:rPr>
          <w:rFonts w:ascii="Times New Roman" w:eastAsia="Times New Roman" w:hAnsi="Times New Roman" w:cs="Times New Roman"/>
          <w:sz w:val="24"/>
          <w:szCs w:val="24"/>
        </w:rPr>
        <w:t>Wolfenzon</w:t>
      </w:r>
      <w:proofErr w:type="spellEnd"/>
      <w:r w:rsidRPr="00FB7E6D">
        <w:rPr>
          <w:rFonts w:ascii="Times New Roman" w:eastAsia="Times New Roman" w:hAnsi="Times New Roman" w:cs="Times New Roman"/>
          <w:sz w:val="24"/>
          <w:szCs w:val="24"/>
        </w:rPr>
        <w:t>, 2019). </w:t>
      </w:r>
    </w:p>
    <w:p w14:paraId="3D91D2B3"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xml:space="preserve">WHEREAS, victims of discrimination (or the experience of receiving lower outcomes based on group membership) not only receive lower outcomes, but discrimination also negatively affects self-esteem, life satisfaction, positive affect, anxiety, and depression (Schmitt &amp; </w:t>
      </w:r>
      <w:proofErr w:type="spellStart"/>
      <w:r w:rsidRPr="00FB7E6D">
        <w:rPr>
          <w:rFonts w:ascii="Times New Roman" w:eastAsia="Times New Roman" w:hAnsi="Times New Roman" w:cs="Times New Roman"/>
          <w:sz w:val="24"/>
          <w:szCs w:val="24"/>
        </w:rPr>
        <w:t>Branscombe</w:t>
      </w:r>
      <w:proofErr w:type="spellEnd"/>
      <w:r w:rsidRPr="00FB7E6D">
        <w:rPr>
          <w:rFonts w:ascii="Times New Roman" w:eastAsia="Times New Roman" w:hAnsi="Times New Roman" w:cs="Times New Roman"/>
          <w:sz w:val="24"/>
          <w:szCs w:val="24"/>
        </w:rPr>
        <w:t xml:space="preserve">, 2002; Schmitt, </w:t>
      </w:r>
      <w:proofErr w:type="spellStart"/>
      <w:r w:rsidRPr="00FB7E6D">
        <w:rPr>
          <w:rFonts w:ascii="Times New Roman" w:eastAsia="Times New Roman" w:hAnsi="Times New Roman" w:cs="Times New Roman"/>
          <w:sz w:val="24"/>
          <w:szCs w:val="24"/>
        </w:rPr>
        <w:t>Branscombe</w:t>
      </w:r>
      <w:proofErr w:type="spellEnd"/>
      <w:r w:rsidRPr="00FB7E6D">
        <w:rPr>
          <w:rFonts w:ascii="Times New Roman" w:eastAsia="Times New Roman" w:hAnsi="Times New Roman" w:cs="Times New Roman"/>
          <w:sz w:val="24"/>
          <w:szCs w:val="24"/>
        </w:rPr>
        <w:t xml:space="preserve">, </w:t>
      </w:r>
      <w:proofErr w:type="spellStart"/>
      <w:r w:rsidRPr="00FB7E6D">
        <w:rPr>
          <w:rFonts w:ascii="Times New Roman" w:eastAsia="Times New Roman" w:hAnsi="Times New Roman" w:cs="Times New Roman"/>
          <w:sz w:val="24"/>
          <w:szCs w:val="24"/>
        </w:rPr>
        <w:t>Kobrynowicz</w:t>
      </w:r>
      <w:proofErr w:type="spellEnd"/>
      <w:r w:rsidRPr="00FB7E6D">
        <w:rPr>
          <w:rFonts w:ascii="Times New Roman" w:eastAsia="Times New Roman" w:hAnsi="Times New Roman" w:cs="Times New Roman"/>
          <w:sz w:val="24"/>
          <w:szCs w:val="24"/>
        </w:rPr>
        <w:t xml:space="preserve">, &amp; Owen, 2002; Schmitt et al., 2014). In addition, discrimination negatively affects employees’ sense of belonging (Brands &amp; Fernandez-Mateo, 2017; </w:t>
      </w:r>
      <w:proofErr w:type="spellStart"/>
      <w:r w:rsidRPr="00FB7E6D">
        <w:rPr>
          <w:rFonts w:ascii="Times New Roman" w:eastAsia="Times New Roman" w:hAnsi="Times New Roman" w:cs="Times New Roman"/>
          <w:sz w:val="24"/>
          <w:szCs w:val="24"/>
        </w:rPr>
        <w:t>Carvallo</w:t>
      </w:r>
      <w:proofErr w:type="spellEnd"/>
      <w:r w:rsidRPr="00FB7E6D">
        <w:rPr>
          <w:rFonts w:ascii="Times New Roman" w:eastAsia="Times New Roman" w:hAnsi="Times New Roman" w:cs="Times New Roman"/>
          <w:sz w:val="24"/>
          <w:szCs w:val="24"/>
        </w:rPr>
        <w:t xml:space="preserve"> &amp; Pelham, 2006; Good, Rattan, &amp; Dweck, 2012). Thus, the experience of discrimination affects the individual employee’s well-being, his/her/their connection to the organization, and compensation. </w:t>
      </w:r>
    </w:p>
    <w:p w14:paraId="1E4CF6DE"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WHEREAS, the</w:t>
      </w:r>
      <w:hyperlink r:id="rId6" w:history="1">
        <w:r w:rsidRPr="00FB7E6D">
          <w:rPr>
            <w:rFonts w:ascii="Times New Roman" w:eastAsia="Times New Roman" w:hAnsi="Times New Roman" w:cs="Times New Roman"/>
            <w:sz w:val="24"/>
            <w:szCs w:val="24"/>
            <w:u w:val="single"/>
          </w:rPr>
          <w:t xml:space="preserve"> Equal Pay Act of 1963</w:t>
        </w:r>
      </w:hyperlink>
      <w:r w:rsidRPr="00FB7E6D">
        <w:rPr>
          <w:rFonts w:ascii="Times New Roman" w:eastAsia="Times New Roman" w:hAnsi="Times New Roman" w:cs="Times New Roman"/>
          <w:sz w:val="24"/>
          <w:szCs w:val="24"/>
        </w:rPr>
        <w:t xml:space="preserve"> affirms that pay discrimination based on sex is illegal.</w:t>
      </w:r>
      <w:hyperlink r:id="rId7" w:history="1">
        <w:r w:rsidRPr="00FB7E6D">
          <w:rPr>
            <w:rFonts w:ascii="Times New Roman" w:eastAsia="Times New Roman" w:hAnsi="Times New Roman" w:cs="Times New Roman"/>
            <w:sz w:val="24"/>
            <w:szCs w:val="24"/>
            <w:u w:val="single"/>
          </w:rPr>
          <w:t xml:space="preserve"> Title VII of the Civil Rights Act of 1964</w:t>
        </w:r>
      </w:hyperlink>
      <w:r w:rsidRPr="00FB7E6D">
        <w:rPr>
          <w:rFonts w:ascii="Times New Roman" w:eastAsia="Times New Roman" w:hAnsi="Times New Roman" w:cs="Times New Roman"/>
          <w:sz w:val="24"/>
          <w:szCs w:val="24"/>
        </w:rPr>
        <w:t xml:space="preserve"> affirms that discrimination in terms of race, color, religion, sex, or national origin is illegal.</w:t>
      </w:r>
      <w:hyperlink r:id="rId8" w:history="1">
        <w:r w:rsidRPr="00FB7E6D">
          <w:rPr>
            <w:rFonts w:ascii="Times New Roman" w:eastAsia="Times New Roman" w:hAnsi="Times New Roman" w:cs="Times New Roman"/>
            <w:sz w:val="24"/>
            <w:szCs w:val="24"/>
            <w:u w:val="single"/>
          </w:rPr>
          <w:t xml:space="preserve"> Titles I and V of the Americans with Disabilities Act of 1990</w:t>
        </w:r>
      </w:hyperlink>
      <w:r w:rsidRPr="00FB7E6D">
        <w:rPr>
          <w:rFonts w:ascii="Times New Roman" w:eastAsia="Times New Roman" w:hAnsi="Times New Roman" w:cs="Times New Roman"/>
          <w:sz w:val="24"/>
          <w:szCs w:val="24"/>
        </w:rPr>
        <w:t xml:space="preserve"> affirms that discrimination based on disability status is illegal. </w:t>
      </w:r>
    </w:p>
    <w:p w14:paraId="09A77453" w14:textId="77777777" w:rsidR="00FB7E6D" w:rsidRPr="00FB7E6D" w:rsidRDefault="00FB7E6D" w:rsidP="00FB7E6D">
      <w:pPr>
        <w:spacing w:before="240" w:after="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sz w:val="24"/>
          <w:szCs w:val="24"/>
        </w:rPr>
        <w:t> BE IT RESOLVED </w:t>
      </w:r>
    </w:p>
    <w:p w14:paraId="7826472D" w14:textId="1F980C0E" w:rsidR="00FB7E6D" w:rsidRPr="00FB7E6D" w:rsidRDefault="00FB7E6D" w:rsidP="00FB7E6D">
      <w:pPr>
        <w:numPr>
          <w:ilvl w:val="0"/>
          <w:numId w:val="3"/>
        </w:numPr>
        <w:spacing w:after="0" w:line="240" w:lineRule="auto"/>
        <w:textAlignment w:val="baseline"/>
        <w:rPr>
          <w:rFonts w:ascii="Arial" w:eastAsia="Times New Roman" w:hAnsi="Arial" w:cs="Arial"/>
          <w:color w:val="000000"/>
        </w:rPr>
      </w:pPr>
      <w:r w:rsidRPr="00FB7E6D">
        <w:rPr>
          <w:rFonts w:ascii="Times New Roman" w:eastAsia="Times New Roman" w:hAnsi="Times New Roman" w:cs="Times New Roman"/>
          <w:sz w:val="24"/>
          <w:szCs w:val="24"/>
        </w:rPr>
        <w:t xml:space="preserve">The UW Faculty Senate strongly urges unit leaders to </w:t>
      </w:r>
      <w:r w:rsidRPr="00FB7E6D">
        <w:rPr>
          <w:rFonts w:ascii="Times New Roman" w:hAnsi="Times New Roman" w:cs="Times New Roman"/>
          <w:sz w:val="24"/>
          <w:szCs w:val="24"/>
        </w:rPr>
        <w:t xml:space="preserve">provide </w:t>
      </w:r>
      <w:r w:rsidR="00F83DFB" w:rsidRPr="00FF6059">
        <w:rPr>
          <w:rFonts w:ascii="Times New Roman" w:hAnsi="Times New Roman" w:cs="Times New Roman"/>
          <w:sz w:val="24"/>
          <w:szCs w:val="24"/>
        </w:rPr>
        <w:t>between 25%-75% reduction in performance expectations - noting that the specific adjustment would be determined as a discussion between the unit leader and instructor.</w:t>
      </w:r>
      <w:r w:rsidR="00F83DFB">
        <w:rPr>
          <w:rFonts w:ascii="Times New Roman" w:hAnsi="Times New Roman" w:cs="Times New Roman"/>
          <w:sz w:val="24"/>
          <w:szCs w:val="24"/>
        </w:rPr>
        <w:t xml:space="preserve"> In addition, the UW Faculty Senate strongly urges unit leaders to </w:t>
      </w:r>
      <w:r w:rsidRPr="00FB7E6D">
        <w:rPr>
          <w:rFonts w:ascii="Times New Roman" w:eastAsia="Times New Roman" w:hAnsi="Times New Roman" w:cs="Times New Roman"/>
          <w:sz w:val="24"/>
          <w:szCs w:val="24"/>
        </w:rPr>
        <w:t xml:space="preserve">provide specific additional </w:t>
      </w:r>
      <w:r w:rsidRPr="00FB7E6D">
        <w:rPr>
          <w:rFonts w:ascii="Times New Roman" w:eastAsia="Times New Roman" w:hAnsi="Times New Roman" w:cs="Times New Roman"/>
          <w:color w:val="000000"/>
          <w:sz w:val="24"/>
          <w:szCs w:val="24"/>
        </w:rPr>
        <w:t>information regarding how they will support faculty who are caregivers during COVID 19 crisis</w:t>
      </w:r>
      <w:r w:rsidR="00160891">
        <w:rPr>
          <w:rFonts w:ascii="Times New Roman" w:eastAsia="Times New Roman" w:hAnsi="Times New Roman" w:cs="Times New Roman"/>
          <w:color w:val="000000"/>
          <w:sz w:val="24"/>
          <w:szCs w:val="24"/>
        </w:rPr>
        <w:t>.</w:t>
      </w:r>
    </w:p>
    <w:p w14:paraId="6F857DEF" w14:textId="7E01856A" w:rsidR="00FB7E6D" w:rsidRPr="00FB7E6D" w:rsidRDefault="00FB7E6D" w:rsidP="00FB7E6D">
      <w:pPr>
        <w:numPr>
          <w:ilvl w:val="0"/>
          <w:numId w:val="3"/>
        </w:numPr>
        <w:spacing w:after="0" w:line="240" w:lineRule="auto"/>
        <w:textAlignment w:val="baseline"/>
        <w:rPr>
          <w:rFonts w:ascii="Arial" w:eastAsia="Times New Roman" w:hAnsi="Arial" w:cs="Arial"/>
          <w:color w:val="000000"/>
        </w:rPr>
      </w:pPr>
      <w:r w:rsidRPr="00FB7E6D">
        <w:rPr>
          <w:rFonts w:ascii="Times New Roman" w:eastAsia="Times New Roman" w:hAnsi="Times New Roman" w:cs="Times New Roman"/>
          <w:color w:val="000000"/>
          <w:sz w:val="24"/>
          <w:szCs w:val="24"/>
        </w:rPr>
        <w:t>The UW Faculty Senate strongly urges the University to offer teaching relief</w:t>
      </w:r>
      <w:r w:rsidR="00F83DFB">
        <w:rPr>
          <w:rFonts w:ascii="Times New Roman" w:eastAsia="Times New Roman" w:hAnsi="Times New Roman" w:cs="Times New Roman"/>
          <w:color w:val="000000"/>
          <w:sz w:val="24"/>
          <w:szCs w:val="24"/>
        </w:rPr>
        <w:t>, teaching flexibility</w:t>
      </w:r>
      <w:r w:rsidRPr="00FB7E6D">
        <w:rPr>
          <w:rFonts w:ascii="Times New Roman" w:eastAsia="Times New Roman" w:hAnsi="Times New Roman" w:cs="Times New Roman"/>
          <w:color w:val="000000"/>
          <w:sz w:val="24"/>
          <w:szCs w:val="24"/>
        </w:rPr>
        <w:t xml:space="preserve"> and teaching resources.</w:t>
      </w:r>
    </w:p>
    <w:p w14:paraId="6F3D2BF0" w14:textId="7EE140D8" w:rsidR="00FB7E6D" w:rsidRPr="00160891" w:rsidRDefault="00FB7E6D" w:rsidP="00FB7E6D">
      <w:pPr>
        <w:numPr>
          <w:ilvl w:val="0"/>
          <w:numId w:val="3"/>
        </w:numPr>
        <w:spacing w:after="0" w:line="240" w:lineRule="auto"/>
        <w:textAlignment w:val="baseline"/>
        <w:rPr>
          <w:rFonts w:ascii="Arial" w:eastAsia="Times New Roman" w:hAnsi="Arial" w:cs="Arial"/>
          <w:color w:val="000000"/>
        </w:rPr>
      </w:pPr>
      <w:r w:rsidRPr="00FB7E6D">
        <w:rPr>
          <w:rFonts w:ascii="Times New Roman" w:eastAsia="Times New Roman" w:hAnsi="Times New Roman" w:cs="Times New Roman"/>
          <w:color w:val="000000"/>
          <w:sz w:val="24"/>
          <w:szCs w:val="24"/>
        </w:rPr>
        <w:t xml:space="preserve">The UW Faculty Senate strongly urges unit leadership to remove non-emergent service obligations. This includes deferring all non-essential service activities, </w:t>
      </w:r>
      <w:proofErr w:type="gramStart"/>
      <w:r w:rsidRPr="00FB7E6D">
        <w:rPr>
          <w:rFonts w:ascii="Times New Roman" w:eastAsia="Times New Roman" w:hAnsi="Times New Roman" w:cs="Times New Roman"/>
          <w:color w:val="000000"/>
          <w:sz w:val="24"/>
          <w:szCs w:val="24"/>
        </w:rPr>
        <w:t>delaying</w:t>
      </w:r>
      <w:proofErr w:type="gramEnd"/>
      <w:r w:rsidRPr="00FB7E6D">
        <w:rPr>
          <w:rFonts w:ascii="Times New Roman" w:eastAsia="Times New Roman" w:hAnsi="Times New Roman" w:cs="Times New Roman"/>
          <w:color w:val="000000"/>
          <w:sz w:val="24"/>
          <w:szCs w:val="24"/>
        </w:rPr>
        <w:t xml:space="preserve"> or canceling non-essential events and not requiring participation for events that are held during this crisis, and empowering individual faculty to make these choices. </w:t>
      </w:r>
    </w:p>
    <w:p w14:paraId="228192D6" w14:textId="5FEAD2AA" w:rsidR="00160891" w:rsidRPr="00FB7E6D" w:rsidRDefault="00160891" w:rsidP="00FB7E6D">
      <w:pPr>
        <w:numPr>
          <w:ilvl w:val="0"/>
          <w:numId w:val="3"/>
        </w:numPr>
        <w:spacing w:after="0" w:line="240" w:lineRule="auto"/>
        <w:textAlignment w:val="baseline"/>
        <w:rPr>
          <w:rFonts w:ascii="Arial" w:eastAsia="Times New Roman" w:hAnsi="Arial" w:cs="Arial"/>
          <w:color w:val="000000"/>
        </w:rPr>
      </w:pPr>
      <w:r w:rsidRPr="00FB7E6D">
        <w:rPr>
          <w:rFonts w:ascii="Times New Roman" w:eastAsia="Times New Roman" w:hAnsi="Times New Roman" w:cs="Times New Roman"/>
          <w:color w:val="000000"/>
          <w:sz w:val="24"/>
          <w:szCs w:val="24"/>
        </w:rPr>
        <w:t xml:space="preserve">The UW Faculty Senate strongly urges reallocating an </w:t>
      </w:r>
      <w:r w:rsidRPr="00FB7E6D">
        <w:rPr>
          <w:rFonts w:ascii="Times New Roman" w:hAnsi="Times New Roman" w:cs="Times New Roman"/>
          <w:sz w:val="24"/>
          <w:szCs w:val="24"/>
        </w:rPr>
        <w:t>existing senior administrator's</w:t>
      </w:r>
      <w:r w:rsidRPr="00FB7E6D">
        <w:rPr>
          <w:rFonts w:ascii="Times New Roman" w:eastAsia="Times New Roman" w:hAnsi="Times New Roman" w:cs="Times New Roman"/>
          <w:color w:val="000000"/>
          <w:sz w:val="24"/>
          <w:szCs w:val="24"/>
        </w:rPr>
        <w:t xml:space="preserve"> time to wellness and career development.</w:t>
      </w:r>
    </w:p>
    <w:p w14:paraId="18CB889B" w14:textId="77777777" w:rsidR="00FB7E6D" w:rsidRPr="00FB7E6D" w:rsidRDefault="00FB7E6D" w:rsidP="00FB7E6D">
      <w:pPr>
        <w:numPr>
          <w:ilvl w:val="0"/>
          <w:numId w:val="3"/>
        </w:numPr>
        <w:spacing w:after="0" w:line="240" w:lineRule="auto"/>
        <w:textAlignment w:val="baseline"/>
        <w:rPr>
          <w:rFonts w:ascii="Arial" w:eastAsia="Times New Roman" w:hAnsi="Arial" w:cs="Arial"/>
          <w:color w:val="000000"/>
        </w:rPr>
      </w:pPr>
      <w:r w:rsidRPr="00FB7E6D">
        <w:rPr>
          <w:rFonts w:ascii="Times New Roman" w:eastAsia="Times New Roman" w:hAnsi="Times New Roman" w:cs="Times New Roman"/>
          <w:color w:val="000000"/>
          <w:sz w:val="24"/>
          <w:szCs w:val="24"/>
        </w:rPr>
        <w:t>The UW Faculty Senate strongly urges the University to publicize data to the UW community showing salient outcomes (promotion, pay, performance evaluations, teaching evaluations) by COVID caregiver status, gender, race, ethnicity, disability status, and other demographic groups disproportionately influenced by the COVID crisis. </w:t>
      </w:r>
    </w:p>
    <w:p w14:paraId="534463DF" w14:textId="5AEE312C" w:rsidR="00FB7E6D" w:rsidRPr="00FB7E6D" w:rsidRDefault="00FB7E6D" w:rsidP="00160891">
      <w:pPr>
        <w:spacing w:after="480" w:line="240" w:lineRule="auto"/>
        <w:ind w:left="360"/>
        <w:textAlignment w:val="baseline"/>
        <w:rPr>
          <w:rFonts w:ascii="Arial" w:eastAsia="Times New Roman" w:hAnsi="Arial" w:cs="Arial"/>
          <w:color w:val="000000"/>
        </w:rPr>
      </w:pPr>
      <w:r w:rsidRPr="00FB7E6D">
        <w:rPr>
          <w:rFonts w:ascii="Times New Roman" w:eastAsia="Times New Roman" w:hAnsi="Times New Roman" w:cs="Times New Roman"/>
          <w:color w:val="000000"/>
          <w:sz w:val="24"/>
          <w:szCs w:val="24"/>
        </w:rPr>
        <w:br/>
      </w:r>
      <w:r w:rsidRPr="00FB7E6D">
        <w:rPr>
          <w:rFonts w:ascii="Times New Roman" w:eastAsia="Times New Roman" w:hAnsi="Times New Roman" w:cs="Times New Roman"/>
          <w:color w:val="000000"/>
          <w:sz w:val="24"/>
          <w:szCs w:val="24"/>
        </w:rPr>
        <w:br/>
      </w:r>
      <w:r w:rsidRPr="00FB7E6D">
        <w:rPr>
          <w:rFonts w:ascii="Times New Roman" w:eastAsia="Times New Roman" w:hAnsi="Times New Roman" w:cs="Times New Roman"/>
          <w:color w:val="000000"/>
          <w:sz w:val="24"/>
          <w:szCs w:val="24"/>
        </w:rPr>
        <w:br/>
      </w:r>
    </w:p>
    <w:p w14:paraId="01B83962" w14:textId="77777777" w:rsidR="00FB7E6D" w:rsidRPr="00FB7E6D" w:rsidRDefault="00FB7E6D" w:rsidP="00FB7E6D">
      <w:pPr>
        <w:spacing w:after="0" w:line="240" w:lineRule="auto"/>
        <w:rPr>
          <w:rFonts w:ascii="Times New Roman" w:eastAsia="Times New Roman" w:hAnsi="Times New Roman" w:cs="Times New Roman"/>
          <w:sz w:val="24"/>
          <w:szCs w:val="24"/>
        </w:rPr>
      </w:pPr>
    </w:p>
    <w:p w14:paraId="137E1023"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lastRenderedPageBreak/>
        <w:t> </w:t>
      </w:r>
    </w:p>
    <w:p w14:paraId="663DD6A5" w14:textId="77777777" w:rsidR="00FB7E6D" w:rsidRPr="00FB7E6D" w:rsidRDefault="00FB7E6D" w:rsidP="00FB7E6D">
      <w:pPr>
        <w:spacing w:before="240" w:after="240" w:line="240" w:lineRule="auto"/>
        <w:jc w:val="center"/>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t>References</w:t>
      </w:r>
    </w:p>
    <w:p w14:paraId="6D60772B"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proofErr w:type="spellStart"/>
      <w:r w:rsidRPr="00FB7E6D">
        <w:rPr>
          <w:rFonts w:ascii="Times New Roman" w:eastAsia="Times New Roman" w:hAnsi="Times New Roman" w:cs="Times New Roman"/>
          <w:color w:val="000000"/>
          <w:sz w:val="24"/>
          <w:szCs w:val="24"/>
          <w:shd w:val="clear" w:color="auto" w:fill="FFFFFF"/>
        </w:rPr>
        <w:t>Antecol</w:t>
      </w:r>
      <w:proofErr w:type="spellEnd"/>
      <w:r w:rsidRPr="00FB7E6D">
        <w:rPr>
          <w:rFonts w:ascii="Times New Roman" w:eastAsia="Times New Roman" w:hAnsi="Times New Roman" w:cs="Times New Roman"/>
          <w:color w:val="000000"/>
          <w:sz w:val="24"/>
          <w:szCs w:val="24"/>
          <w:shd w:val="clear" w:color="auto" w:fill="FFFFFF"/>
        </w:rPr>
        <w:t xml:space="preserve">, H., Bedard, K., and Stearns, J. (2018). "Equal but Inequitable: Who Benefits from Gender-Neutral Tenure Clock Stopping Policies?" </w:t>
      </w:r>
      <w:r w:rsidRPr="00FB7E6D">
        <w:rPr>
          <w:rFonts w:ascii="Times New Roman" w:eastAsia="Times New Roman" w:hAnsi="Times New Roman" w:cs="Times New Roman"/>
          <w:i/>
          <w:iCs/>
          <w:color w:val="000000"/>
          <w:sz w:val="24"/>
          <w:szCs w:val="24"/>
          <w:shd w:val="clear" w:color="auto" w:fill="FFFFFF"/>
        </w:rPr>
        <w:t>American Economic Review</w:t>
      </w:r>
      <w:r w:rsidRPr="00FB7E6D">
        <w:rPr>
          <w:rFonts w:ascii="Times New Roman" w:eastAsia="Times New Roman" w:hAnsi="Times New Roman" w:cs="Times New Roman"/>
          <w:color w:val="000000"/>
          <w:sz w:val="24"/>
          <w:szCs w:val="24"/>
          <w:shd w:val="clear" w:color="auto" w:fill="FFFFFF"/>
        </w:rPr>
        <w:t>, 108 (9): 2420-41. https://www.aeaweb.org/articles?id=10.1257/aer.20160613</w:t>
      </w:r>
    </w:p>
    <w:p w14:paraId="28C896CC"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t xml:space="preserve">Banaji, </w:t>
      </w:r>
      <w:proofErr w:type="spellStart"/>
      <w:r w:rsidRPr="00FB7E6D">
        <w:rPr>
          <w:rFonts w:ascii="Times New Roman" w:eastAsia="Times New Roman" w:hAnsi="Times New Roman" w:cs="Times New Roman"/>
          <w:color w:val="000000"/>
          <w:sz w:val="24"/>
          <w:szCs w:val="24"/>
          <w:shd w:val="clear" w:color="auto" w:fill="FFFFFF"/>
        </w:rPr>
        <w:t>Mahzarin</w:t>
      </w:r>
      <w:proofErr w:type="spellEnd"/>
      <w:r w:rsidRPr="00FB7E6D">
        <w:rPr>
          <w:rFonts w:ascii="Times New Roman" w:eastAsia="Times New Roman" w:hAnsi="Times New Roman" w:cs="Times New Roman"/>
          <w:color w:val="000000"/>
          <w:sz w:val="24"/>
          <w:szCs w:val="24"/>
          <w:shd w:val="clear" w:color="auto" w:fill="FFFFFF"/>
        </w:rPr>
        <w:t xml:space="preserve"> R., Max H. Bazerman, and Dolly </w:t>
      </w:r>
      <w:proofErr w:type="spellStart"/>
      <w:r w:rsidRPr="00FB7E6D">
        <w:rPr>
          <w:rFonts w:ascii="Times New Roman" w:eastAsia="Times New Roman" w:hAnsi="Times New Roman" w:cs="Times New Roman"/>
          <w:color w:val="000000"/>
          <w:sz w:val="24"/>
          <w:szCs w:val="24"/>
          <w:shd w:val="clear" w:color="auto" w:fill="FFFFFF"/>
        </w:rPr>
        <w:t>Chugh</w:t>
      </w:r>
      <w:proofErr w:type="spellEnd"/>
      <w:r w:rsidRPr="00FB7E6D">
        <w:rPr>
          <w:rFonts w:ascii="Times New Roman" w:eastAsia="Times New Roman" w:hAnsi="Times New Roman" w:cs="Times New Roman"/>
          <w:color w:val="000000"/>
          <w:sz w:val="24"/>
          <w:szCs w:val="24"/>
          <w:shd w:val="clear" w:color="auto" w:fill="FFFFFF"/>
        </w:rPr>
        <w:t>.</w:t>
      </w:r>
      <w:hyperlink r:id="rId9" w:history="1">
        <w:r w:rsidRPr="00FB7E6D">
          <w:rPr>
            <w:rFonts w:ascii="Times New Roman" w:eastAsia="Times New Roman" w:hAnsi="Times New Roman" w:cs="Times New Roman"/>
            <w:color w:val="000000"/>
            <w:sz w:val="24"/>
            <w:szCs w:val="24"/>
            <w:u w:val="single"/>
            <w:shd w:val="clear" w:color="auto" w:fill="FFFFFF"/>
          </w:rPr>
          <w:t xml:space="preserve"> "How (Un)ethical are You?"</w:t>
        </w:r>
      </w:hyperlink>
      <w:r w:rsidRPr="00FB7E6D">
        <w:rPr>
          <w:rFonts w:ascii="Times New Roman" w:eastAsia="Times New Roman" w:hAnsi="Times New Roman" w:cs="Times New Roman"/>
          <w:color w:val="000000"/>
          <w:sz w:val="24"/>
          <w:szCs w:val="24"/>
          <w:shd w:val="clear" w:color="auto" w:fill="FFFFFF"/>
        </w:rPr>
        <w:t xml:space="preserve"> </w:t>
      </w:r>
      <w:r w:rsidRPr="00FB7E6D">
        <w:rPr>
          <w:rFonts w:ascii="Times New Roman" w:eastAsia="Times New Roman" w:hAnsi="Times New Roman" w:cs="Times New Roman"/>
          <w:i/>
          <w:iCs/>
          <w:color w:val="000000"/>
          <w:sz w:val="24"/>
          <w:szCs w:val="24"/>
          <w:shd w:val="clear" w:color="auto" w:fill="FFFFFF"/>
        </w:rPr>
        <w:t>Harvard Business Review</w:t>
      </w:r>
      <w:r w:rsidRPr="00FB7E6D">
        <w:rPr>
          <w:rFonts w:ascii="Times New Roman" w:eastAsia="Times New Roman" w:hAnsi="Times New Roman" w:cs="Times New Roman"/>
          <w:color w:val="000000"/>
          <w:sz w:val="24"/>
          <w:szCs w:val="24"/>
          <w:shd w:val="clear" w:color="auto" w:fill="FFFFFF"/>
        </w:rPr>
        <w:t xml:space="preserve"> 81, no. 12 (December 2003).</w:t>
      </w:r>
    </w:p>
    <w:p w14:paraId="324DD26C"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proofErr w:type="spellStart"/>
      <w:r w:rsidRPr="00FB7E6D">
        <w:rPr>
          <w:rFonts w:ascii="Times New Roman" w:eastAsia="Times New Roman" w:hAnsi="Times New Roman" w:cs="Times New Roman"/>
          <w:color w:val="000000"/>
          <w:sz w:val="24"/>
          <w:szCs w:val="24"/>
        </w:rPr>
        <w:t>Bennedsen</w:t>
      </w:r>
      <w:proofErr w:type="spellEnd"/>
      <w:r w:rsidRPr="00FB7E6D">
        <w:rPr>
          <w:rFonts w:ascii="Times New Roman" w:eastAsia="Times New Roman" w:hAnsi="Times New Roman" w:cs="Times New Roman"/>
          <w:color w:val="000000"/>
          <w:sz w:val="24"/>
          <w:szCs w:val="24"/>
        </w:rPr>
        <w:t xml:space="preserve"> M., </w:t>
      </w:r>
      <w:proofErr w:type="spellStart"/>
      <w:r w:rsidRPr="00FB7E6D">
        <w:rPr>
          <w:rFonts w:ascii="Times New Roman" w:eastAsia="Times New Roman" w:hAnsi="Times New Roman" w:cs="Times New Roman"/>
          <w:color w:val="000000"/>
          <w:sz w:val="24"/>
          <w:szCs w:val="24"/>
        </w:rPr>
        <w:t>Simintzi</w:t>
      </w:r>
      <w:proofErr w:type="spellEnd"/>
      <w:r w:rsidRPr="00FB7E6D">
        <w:rPr>
          <w:rFonts w:ascii="Times New Roman" w:eastAsia="Times New Roman" w:hAnsi="Times New Roman" w:cs="Times New Roman"/>
          <w:color w:val="000000"/>
          <w:sz w:val="24"/>
          <w:szCs w:val="24"/>
        </w:rPr>
        <w:t xml:space="preserve"> E., </w:t>
      </w:r>
      <w:proofErr w:type="spellStart"/>
      <w:r w:rsidRPr="00FB7E6D">
        <w:rPr>
          <w:rFonts w:ascii="Times New Roman" w:eastAsia="Times New Roman" w:hAnsi="Times New Roman" w:cs="Times New Roman"/>
          <w:color w:val="000000"/>
          <w:sz w:val="24"/>
          <w:szCs w:val="24"/>
        </w:rPr>
        <w:t>Tsoutsoura</w:t>
      </w:r>
      <w:proofErr w:type="spellEnd"/>
      <w:r w:rsidRPr="00FB7E6D">
        <w:rPr>
          <w:rFonts w:ascii="Times New Roman" w:eastAsia="Times New Roman" w:hAnsi="Times New Roman" w:cs="Times New Roman"/>
          <w:color w:val="000000"/>
          <w:sz w:val="24"/>
          <w:szCs w:val="24"/>
        </w:rPr>
        <w:t xml:space="preserve"> M., </w:t>
      </w:r>
      <w:proofErr w:type="spellStart"/>
      <w:r w:rsidRPr="00FB7E6D">
        <w:rPr>
          <w:rFonts w:ascii="Times New Roman" w:eastAsia="Times New Roman" w:hAnsi="Times New Roman" w:cs="Times New Roman"/>
          <w:color w:val="000000"/>
          <w:sz w:val="24"/>
          <w:szCs w:val="24"/>
        </w:rPr>
        <w:t>Wolfenzon</w:t>
      </w:r>
      <w:proofErr w:type="spellEnd"/>
      <w:r w:rsidRPr="00FB7E6D">
        <w:rPr>
          <w:rFonts w:ascii="Times New Roman" w:eastAsia="Times New Roman" w:hAnsi="Times New Roman" w:cs="Times New Roman"/>
          <w:color w:val="000000"/>
          <w:sz w:val="24"/>
          <w:szCs w:val="24"/>
        </w:rPr>
        <w:t xml:space="preserve"> D. (2019). Research: Gender pay gaps shrink when companies are required to disclose them.</w:t>
      </w:r>
      <w:r w:rsidRPr="00FB7E6D">
        <w:rPr>
          <w:rFonts w:ascii="Times New Roman" w:eastAsia="Times New Roman" w:hAnsi="Times New Roman" w:cs="Times New Roman"/>
          <w:b/>
          <w:bCs/>
          <w:color w:val="000000"/>
          <w:sz w:val="24"/>
          <w:szCs w:val="24"/>
        </w:rPr>
        <w:t xml:space="preserve"> </w:t>
      </w:r>
      <w:r w:rsidRPr="00FB7E6D">
        <w:rPr>
          <w:rFonts w:ascii="Times New Roman" w:eastAsia="Times New Roman" w:hAnsi="Times New Roman" w:cs="Times New Roman"/>
          <w:i/>
          <w:iCs/>
          <w:color w:val="000000"/>
          <w:sz w:val="24"/>
          <w:szCs w:val="24"/>
        </w:rPr>
        <w:t>Harvard Business Review Digital Articles</w:t>
      </w:r>
    </w:p>
    <w:p w14:paraId="6E8E498E"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 xml:space="preserve">Chen J. J. &amp; Crown D. (2019). The gender pay gap in academia: Evidence from the Ohio State University, </w:t>
      </w:r>
      <w:r w:rsidRPr="00FB7E6D">
        <w:rPr>
          <w:rFonts w:ascii="Times New Roman" w:eastAsia="Times New Roman" w:hAnsi="Times New Roman" w:cs="Times New Roman"/>
          <w:i/>
          <w:iCs/>
          <w:color w:val="000000"/>
          <w:sz w:val="24"/>
          <w:szCs w:val="24"/>
        </w:rPr>
        <w:t>American Journal of Agricultural Economics</w:t>
      </w:r>
      <w:r w:rsidRPr="00FB7E6D">
        <w:rPr>
          <w:rFonts w:ascii="Times New Roman" w:eastAsia="Times New Roman" w:hAnsi="Times New Roman" w:cs="Times New Roman"/>
          <w:color w:val="000000"/>
          <w:sz w:val="24"/>
          <w:szCs w:val="24"/>
        </w:rPr>
        <w:t>, Volume 101, 1337–1352.</w:t>
      </w:r>
    </w:p>
    <w:p w14:paraId="4F07B8B2" w14:textId="2DBAB3F3" w:rsidR="00F16A9A" w:rsidRDefault="00F16A9A" w:rsidP="00FB7E6D">
      <w:pPr>
        <w:spacing w:before="240" w:after="24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De León, Concepción. (2020, October 13). Princeton to pay nearly $1.2 million to female professors to address inequity. </w:t>
      </w:r>
      <w:r w:rsidRPr="00F16A9A">
        <w:rPr>
          <w:rFonts w:ascii="Times New Roman" w:eastAsia="Times New Roman" w:hAnsi="Times New Roman" w:cs="Times New Roman"/>
          <w:i/>
          <w:iCs/>
          <w:color w:val="000000"/>
          <w:sz w:val="24"/>
          <w:szCs w:val="24"/>
          <w:shd w:val="clear" w:color="auto" w:fill="FFFFFF"/>
        </w:rPr>
        <w:t>New York Times</w:t>
      </w:r>
      <w:r>
        <w:rPr>
          <w:rFonts w:ascii="Times New Roman" w:eastAsia="Times New Roman" w:hAnsi="Times New Roman" w:cs="Times New Roman"/>
          <w:color w:val="000000"/>
          <w:sz w:val="24"/>
          <w:szCs w:val="24"/>
          <w:shd w:val="clear" w:color="auto" w:fill="FFFFFF"/>
        </w:rPr>
        <w:t xml:space="preserve">. </w:t>
      </w:r>
      <w:hyperlink r:id="rId10" w:history="1">
        <w:r w:rsidRPr="00A239AD">
          <w:rPr>
            <w:rStyle w:val="Hyperlink"/>
            <w:rFonts w:ascii="Times New Roman" w:eastAsia="Times New Roman" w:hAnsi="Times New Roman" w:cs="Times New Roman"/>
            <w:sz w:val="24"/>
            <w:szCs w:val="24"/>
            <w:shd w:val="clear" w:color="auto" w:fill="FFFFFF"/>
          </w:rPr>
          <w:t>https://www.nytimes.com/2020/10/13/us/princeton-female-professors-backpay-discrimination-lawsuit.html</w:t>
        </w:r>
      </w:hyperlink>
      <w:r>
        <w:rPr>
          <w:rFonts w:ascii="Times New Roman" w:eastAsia="Times New Roman" w:hAnsi="Times New Roman" w:cs="Times New Roman"/>
          <w:color w:val="000000"/>
          <w:sz w:val="24"/>
          <w:szCs w:val="24"/>
          <w:shd w:val="clear" w:color="auto" w:fill="FFFFFF"/>
        </w:rPr>
        <w:t xml:space="preserve">. </w:t>
      </w:r>
      <w:r w:rsidRPr="00F16A9A">
        <w:rPr>
          <w:rFonts w:ascii="Times New Roman" w:eastAsia="Times New Roman" w:hAnsi="Times New Roman" w:cs="Times New Roman"/>
          <w:color w:val="000000"/>
          <w:sz w:val="24"/>
          <w:szCs w:val="24"/>
          <w:shd w:val="clear" w:color="auto" w:fill="FFFFFF"/>
        </w:rPr>
        <w:t xml:space="preserve"> last accessed 10/23/20</w:t>
      </w:r>
      <w:r>
        <w:rPr>
          <w:rFonts w:ascii="Times New Roman" w:eastAsia="Times New Roman" w:hAnsi="Times New Roman" w:cs="Times New Roman"/>
          <w:color w:val="000000"/>
          <w:sz w:val="24"/>
          <w:szCs w:val="24"/>
          <w:shd w:val="clear" w:color="auto" w:fill="FFFFFF"/>
        </w:rPr>
        <w:t xml:space="preserve">. </w:t>
      </w:r>
    </w:p>
    <w:p w14:paraId="63A8C1FF" w14:textId="5B5F4038"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t xml:space="preserve">Greenwald, A. G., </w:t>
      </w:r>
      <w:proofErr w:type="spellStart"/>
      <w:r w:rsidRPr="00FB7E6D">
        <w:rPr>
          <w:rFonts w:ascii="Times New Roman" w:eastAsia="Times New Roman" w:hAnsi="Times New Roman" w:cs="Times New Roman"/>
          <w:color w:val="000000"/>
          <w:sz w:val="24"/>
          <w:szCs w:val="24"/>
          <w:shd w:val="clear" w:color="auto" w:fill="FFFFFF"/>
        </w:rPr>
        <w:t>Poehlman</w:t>
      </w:r>
      <w:proofErr w:type="spellEnd"/>
      <w:r w:rsidRPr="00FB7E6D">
        <w:rPr>
          <w:rFonts w:ascii="Times New Roman" w:eastAsia="Times New Roman" w:hAnsi="Times New Roman" w:cs="Times New Roman"/>
          <w:color w:val="000000"/>
          <w:sz w:val="24"/>
          <w:szCs w:val="24"/>
          <w:shd w:val="clear" w:color="auto" w:fill="FFFFFF"/>
        </w:rPr>
        <w:t xml:space="preserve">, T. A., Uhlmann, E. L., &amp; Banaji, M. R. (2009). Understanding and using the implicit association Test: III. Meta-analysis of predictive validity. </w:t>
      </w:r>
      <w:r w:rsidRPr="00FB7E6D">
        <w:rPr>
          <w:rFonts w:ascii="Times New Roman" w:eastAsia="Times New Roman" w:hAnsi="Times New Roman" w:cs="Times New Roman"/>
          <w:i/>
          <w:iCs/>
          <w:color w:val="000000"/>
          <w:sz w:val="24"/>
          <w:szCs w:val="24"/>
          <w:shd w:val="clear" w:color="auto" w:fill="FFFFFF"/>
        </w:rPr>
        <w:t>Journal of Personality and Social Psychology</w:t>
      </w:r>
      <w:r w:rsidRPr="00FB7E6D">
        <w:rPr>
          <w:rFonts w:ascii="Times New Roman" w:eastAsia="Times New Roman" w:hAnsi="Times New Roman" w:cs="Times New Roman"/>
          <w:color w:val="000000"/>
          <w:sz w:val="24"/>
          <w:szCs w:val="24"/>
          <w:shd w:val="clear" w:color="auto" w:fill="FFFFFF"/>
        </w:rPr>
        <w:t xml:space="preserve">, </w:t>
      </w:r>
      <w:r w:rsidRPr="00FB7E6D">
        <w:rPr>
          <w:rFonts w:ascii="Times New Roman" w:eastAsia="Times New Roman" w:hAnsi="Times New Roman" w:cs="Times New Roman"/>
          <w:i/>
          <w:iCs/>
          <w:color w:val="000000"/>
          <w:sz w:val="24"/>
          <w:szCs w:val="24"/>
          <w:shd w:val="clear" w:color="auto" w:fill="FFFFFF"/>
        </w:rPr>
        <w:t>97</w:t>
      </w:r>
      <w:r w:rsidRPr="00FB7E6D">
        <w:rPr>
          <w:rFonts w:ascii="Times New Roman" w:eastAsia="Times New Roman" w:hAnsi="Times New Roman" w:cs="Times New Roman"/>
          <w:color w:val="000000"/>
          <w:sz w:val="24"/>
          <w:szCs w:val="24"/>
          <w:shd w:val="clear" w:color="auto" w:fill="FFFFFF"/>
        </w:rPr>
        <w:t>(1), 17.</w:t>
      </w:r>
    </w:p>
    <w:p w14:paraId="5C2745C0"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t>Race and Equity at the UW. (2020). Race and equity initiative. Retrieved from</w:t>
      </w:r>
      <w:hyperlink r:id="rId11" w:history="1">
        <w:r w:rsidRPr="00FB7E6D">
          <w:rPr>
            <w:rFonts w:ascii="Times New Roman" w:eastAsia="Times New Roman" w:hAnsi="Times New Roman" w:cs="Times New Roman"/>
            <w:color w:val="000000"/>
            <w:sz w:val="24"/>
            <w:szCs w:val="24"/>
            <w:u w:val="single"/>
            <w:shd w:val="clear" w:color="auto" w:fill="FFFFFF"/>
          </w:rPr>
          <w:t xml:space="preserve"> </w:t>
        </w:r>
        <w:r w:rsidRPr="00FB7E6D">
          <w:rPr>
            <w:rFonts w:ascii="Times New Roman" w:eastAsia="Times New Roman" w:hAnsi="Times New Roman" w:cs="Times New Roman"/>
            <w:color w:val="0563C1"/>
            <w:sz w:val="24"/>
            <w:szCs w:val="24"/>
            <w:u w:val="single"/>
          </w:rPr>
          <w:t>https://www.washington.edu/raceequity/</w:t>
        </w:r>
      </w:hyperlink>
      <w:r w:rsidRPr="00FB7E6D">
        <w:rPr>
          <w:rFonts w:ascii="Times New Roman" w:eastAsia="Times New Roman" w:hAnsi="Times New Roman" w:cs="Times New Roman"/>
          <w:color w:val="000000"/>
          <w:sz w:val="24"/>
          <w:szCs w:val="24"/>
          <w:shd w:val="clear" w:color="auto" w:fill="FFFFFF"/>
        </w:rPr>
        <w:t xml:space="preserve"> last accessed 9/27/20.</w:t>
      </w:r>
    </w:p>
    <w:p w14:paraId="69ABC917"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t>Rankin &amp; Associates Consulting. (2020). University of Washington in Seattle: Assessments of climate for learning, living, and working final report. Retrieved from</w:t>
      </w:r>
      <w:hyperlink r:id="rId12" w:history="1">
        <w:r w:rsidRPr="00FB7E6D">
          <w:rPr>
            <w:rFonts w:ascii="Times New Roman" w:eastAsia="Times New Roman" w:hAnsi="Times New Roman" w:cs="Times New Roman"/>
            <w:color w:val="000000"/>
            <w:sz w:val="24"/>
            <w:szCs w:val="24"/>
            <w:u w:val="single"/>
            <w:shd w:val="clear" w:color="auto" w:fill="FFFFFF"/>
          </w:rPr>
          <w:t xml:space="preserve"> </w:t>
        </w:r>
        <w:r w:rsidRPr="00FB7E6D">
          <w:rPr>
            <w:rFonts w:ascii="Times New Roman" w:eastAsia="Times New Roman" w:hAnsi="Times New Roman" w:cs="Times New Roman"/>
            <w:color w:val="0563C1"/>
            <w:sz w:val="24"/>
            <w:szCs w:val="24"/>
            <w:u w:val="single"/>
            <w:shd w:val="clear" w:color="auto" w:fill="FFFFFF"/>
          </w:rPr>
          <w:t>https://depts.washington.edu/yourvoice/documents/uwseattle_finalreport_grayscale.pdf</w:t>
        </w:r>
      </w:hyperlink>
      <w:r w:rsidRPr="00FB7E6D">
        <w:rPr>
          <w:rFonts w:ascii="Times New Roman" w:eastAsia="Times New Roman" w:hAnsi="Times New Roman" w:cs="Times New Roman"/>
          <w:color w:val="000000"/>
          <w:sz w:val="24"/>
          <w:szCs w:val="24"/>
          <w:shd w:val="clear" w:color="auto" w:fill="FFFFFF"/>
        </w:rPr>
        <w:t xml:space="preserve"> last accessed 9/27/20.</w:t>
      </w:r>
    </w:p>
    <w:p w14:paraId="7E4E583C"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shd w:val="clear" w:color="auto" w:fill="FFFFFF"/>
        </w:rPr>
        <w:t xml:space="preserve">Rudman, L. A., &amp; Ashmore, R. D. (2007). Discrimination and the implicit association test. </w:t>
      </w:r>
      <w:r w:rsidRPr="00FB7E6D">
        <w:rPr>
          <w:rFonts w:ascii="Times New Roman" w:eastAsia="Times New Roman" w:hAnsi="Times New Roman" w:cs="Times New Roman"/>
          <w:i/>
          <w:iCs/>
          <w:color w:val="000000"/>
          <w:sz w:val="24"/>
          <w:szCs w:val="24"/>
          <w:shd w:val="clear" w:color="auto" w:fill="FFFFFF"/>
        </w:rPr>
        <w:t>Group Processes &amp; Intergroup Relations</w:t>
      </w:r>
      <w:r w:rsidRPr="00FB7E6D">
        <w:rPr>
          <w:rFonts w:ascii="Times New Roman" w:eastAsia="Times New Roman" w:hAnsi="Times New Roman" w:cs="Times New Roman"/>
          <w:color w:val="000000"/>
          <w:sz w:val="24"/>
          <w:szCs w:val="24"/>
          <w:shd w:val="clear" w:color="auto" w:fill="FFFFFF"/>
        </w:rPr>
        <w:t xml:space="preserve">, </w:t>
      </w:r>
      <w:r w:rsidRPr="00FB7E6D">
        <w:rPr>
          <w:rFonts w:ascii="Times New Roman" w:eastAsia="Times New Roman" w:hAnsi="Times New Roman" w:cs="Times New Roman"/>
          <w:i/>
          <w:iCs/>
          <w:color w:val="000000"/>
          <w:sz w:val="24"/>
          <w:szCs w:val="24"/>
          <w:shd w:val="clear" w:color="auto" w:fill="FFFFFF"/>
        </w:rPr>
        <w:t>10</w:t>
      </w:r>
      <w:r w:rsidRPr="00FB7E6D">
        <w:rPr>
          <w:rFonts w:ascii="Times New Roman" w:eastAsia="Times New Roman" w:hAnsi="Times New Roman" w:cs="Times New Roman"/>
          <w:color w:val="000000"/>
          <w:sz w:val="24"/>
          <w:szCs w:val="24"/>
          <w:shd w:val="clear" w:color="auto" w:fill="FFFFFF"/>
        </w:rPr>
        <w:t>(3), 359-372.</w:t>
      </w:r>
    </w:p>
    <w:p w14:paraId="1E9BF0AE"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United States Equal Employment Opportunity Commission. (2020). Equal Pay Act of 1963. Retrieved from</w:t>
      </w:r>
      <w:hyperlink r:id="rId13" w:history="1">
        <w:r w:rsidRPr="00FB7E6D">
          <w:rPr>
            <w:rFonts w:ascii="Times New Roman" w:eastAsia="Times New Roman" w:hAnsi="Times New Roman" w:cs="Times New Roman"/>
            <w:color w:val="000000"/>
            <w:sz w:val="24"/>
            <w:szCs w:val="24"/>
            <w:u w:val="single"/>
          </w:rPr>
          <w:t xml:space="preserve"> </w:t>
        </w:r>
        <w:r w:rsidRPr="00FB7E6D">
          <w:rPr>
            <w:rFonts w:ascii="Times New Roman" w:eastAsia="Times New Roman" w:hAnsi="Times New Roman" w:cs="Times New Roman"/>
            <w:color w:val="0563C1"/>
            <w:sz w:val="24"/>
            <w:szCs w:val="24"/>
            <w:u w:val="single"/>
          </w:rPr>
          <w:t>https://www.eeoc.gov/statutes/equal-pay-act-1963</w:t>
        </w:r>
      </w:hyperlink>
      <w:r w:rsidRPr="00FB7E6D">
        <w:rPr>
          <w:rFonts w:ascii="Times New Roman" w:eastAsia="Times New Roman" w:hAnsi="Times New Roman" w:cs="Times New Roman"/>
          <w:color w:val="000000"/>
          <w:sz w:val="24"/>
          <w:szCs w:val="24"/>
        </w:rPr>
        <w:t xml:space="preserve"> </w:t>
      </w:r>
      <w:r w:rsidRPr="00FB7E6D">
        <w:rPr>
          <w:rFonts w:ascii="Times New Roman" w:eastAsia="Times New Roman" w:hAnsi="Times New Roman" w:cs="Times New Roman"/>
          <w:color w:val="000000"/>
          <w:sz w:val="24"/>
          <w:szCs w:val="24"/>
          <w:shd w:val="clear" w:color="auto" w:fill="FFFFFF"/>
        </w:rPr>
        <w:t>last accessed 9/27/20.</w:t>
      </w:r>
    </w:p>
    <w:p w14:paraId="5F6D18DA" w14:textId="77777777" w:rsidR="00FB7E6D" w:rsidRPr="00FB7E6D" w:rsidRDefault="00FB7E6D" w:rsidP="00FB7E6D">
      <w:pPr>
        <w:spacing w:before="240" w:after="240" w:line="240" w:lineRule="auto"/>
        <w:rPr>
          <w:rFonts w:ascii="Times New Roman" w:eastAsia="Times New Roman" w:hAnsi="Times New Roman" w:cs="Times New Roman"/>
          <w:sz w:val="24"/>
          <w:szCs w:val="24"/>
        </w:rPr>
      </w:pPr>
      <w:r w:rsidRPr="00FB7E6D">
        <w:rPr>
          <w:rFonts w:ascii="Times New Roman" w:eastAsia="Times New Roman" w:hAnsi="Times New Roman" w:cs="Times New Roman"/>
          <w:color w:val="000000"/>
          <w:sz w:val="24"/>
          <w:szCs w:val="24"/>
        </w:rPr>
        <w:t>United States Equal Employment Opportunity Commission. (2020). Title VII of the Civil Rights Act of 1964. Retrieved from</w:t>
      </w:r>
      <w:hyperlink r:id="rId14" w:history="1">
        <w:r w:rsidRPr="00FB7E6D">
          <w:rPr>
            <w:rFonts w:ascii="Times New Roman" w:eastAsia="Times New Roman" w:hAnsi="Times New Roman" w:cs="Times New Roman"/>
            <w:color w:val="000000"/>
            <w:sz w:val="24"/>
            <w:szCs w:val="24"/>
            <w:u w:val="single"/>
          </w:rPr>
          <w:t xml:space="preserve"> </w:t>
        </w:r>
        <w:r w:rsidRPr="00FB7E6D">
          <w:rPr>
            <w:rFonts w:ascii="Times New Roman" w:eastAsia="Times New Roman" w:hAnsi="Times New Roman" w:cs="Times New Roman"/>
            <w:color w:val="0563C1"/>
            <w:sz w:val="24"/>
            <w:szCs w:val="24"/>
            <w:u w:val="single"/>
          </w:rPr>
          <w:t>https://www.eeoc.gov/statutes/title-vii-civil-rights-act-1964</w:t>
        </w:r>
      </w:hyperlink>
      <w:r w:rsidRPr="00FB7E6D">
        <w:rPr>
          <w:rFonts w:ascii="Times New Roman" w:eastAsia="Times New Roman" w:hAnsi="Times New Roman" w:cs="Times New Roman"/>
          <w:color w:val="000000"/>
          <w:sz w:val="24"/>
          <w:szCs w:val="24"/>
        </w:rPr>
        <w:t xml:space="preserve"> </w:t>
      </w:r>
      <w:r w:rsidRPr="00FB7E6D">
        <w:rPr>
          <w:rFonts w:ascii="Times New Roman" w:eastAsia="Times New Roman" w:hAnsi="Times New Roman" w:cs="Times New Roman"/>
          <w:color w:val="000000"/>
          <w:sz w:val="24"/>
          <w:szCs w:val="24"/>
          <w:shd w:val="clear" w:color="auto" w:fill="FFFFFF"/>
        </w:rPr>
        <w:t>last accessed 9/27/20.</w:t>
      </w:r>
    </w:p>
    <w:p w14:paraId="4F079118" w14:textId="775F54A2" w:rsidR="00FB7E6D" w:rsidRDefault="00FB7E6D" w:rsidP="00FB7E6D">
      <w:r w:rsidRPr="00FB7E6D">
        <w:rPr>
          <w:rFonts w:ascii="Times New Roman" w:eastAsia="Times New Roman" w:hAnsi="Times New Roman" w:cs="Times New Roman"/>
          <w:color w:val="000000"/>
          <w:sz w:val="24"/>
          <w:szCs w:val="24"/>
        </w:rPr>
        <w:t>United States Equal Employment Opportunity Commission. (2020). Titles I and V of the Americans with Disabilities Act of 1990. Retrieved from</w:t>
      </w:r>
      <w:hyperlink r:id="rId15" w:history="1">
        <w:r w:rsidRPr="00FB7E6D">
          <w:rPr>
            <w:rFonts w:ascii="Times New Roman" w:eastAsia="Times New Roman" w:hAnsi="Times New Roman" w:cs="Times New Roman"/>
            <w:color w:val="000000"/>
            <w:sz w:val="24"/>
            <w:szCs w:val="24"/>
            <w:u w:val="single"/>
          </w:rPr>
          <w:t xml:space="preserve"> </w:t>
        </w:r>
        <w:r w:rsidRPr="00FB7E6D">
          <w:rPr>
            <w:rFonts w:ascii="Times New Roman" w:eastAsia="Times New Roman" w:hAnsi="Times New Roman" w:cs="Times New Roman"/>
            <w:color w:val="0563C1"/>
            <w:sz w:val="24"/>
            <w:szCs w:val="24"/>
            <w:u w:val="single"/>
          </w:rPr>
          <w:t>https://www.eeoc.gov/statutes/titles-i-and-v-americans-disabilities-act-1990-ada</w:t>
        </w:r>
      </w:hyperlink>
      <w:r w:rsidRPr="00FB7E6D">
        <w:rPr>
          <w:rFonts w:ascii="Times New Roman" w:eastAsia="Times New Roman" w:hAnsi="Times New Roman" w:cs="Times New Roman"/>
          <w:color w:val="000000"/>
          <w:sz w:val="24"/>
          <w:szCs w:val="24"/>
        </w:rPr>
        <w:t xml:space="preserve"> </w:t>
      </w:r>
      <w:r w:rsidRPr="00FB7E6D">
        <w:rPr>
          <w:rFonts w:ascii="Times New Roman" w:eastAsia="Times New Roman" w:hAnsi="Times New Roman" w:cs="Times New Roman"/>
          <w:color w:val="000000"/>
          <w:sz w:val="24"/>
          <w:szCs w:val="24"/>
          <w:shd w:val="clear" w:color="auto" w:fill="FFFFFF"/>
        </w:rPr>
        <w:t>last accessed 9/27/20.</w:t>
      </w:r>
    </w:p>
    <w:sectPr w:rsidR="00FB7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66D52"/>
    <w:multiLevelType w:val="multilevel"/>
    <w:tmpl w:val="89725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2101F"/>
    <w:multiLevelType w:val="multilevel"/>
    <w:tmpl w:val="6B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D12283"/>
    <w:multiLevelType w:val="multilevel"/>
    <w:tmpl w:val="4A9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decimal"/>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6D"/>
    <w:rsid w:val="00160891"/>
    <w:rsid w:val="002639DA"/>
    <w:rsid w:val="0027290E"/>
    <w:rsid w:val="004974A3"/>
    <w:rsid w:val="004C7213"/>
    <w:rsid w:val="004E17E2"/>
    <w:rsid w:val="0065003F"/>
    <w:rsid w:val="00747E67"/>
    <w:rsid w:val="009D4AE9"/>
    <w:rsid w:val="00C469BC"/>
    <w:rsid w:val="00F04028"/>
    <w:rsid w:val="00F1189C"/>
    <w:rsid w:val="00F16A9A"/>
    <w:rsid w:val="00F83DFB"/>
    <w:rsid w:val="00FB7E6D"/>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5834"/>
  <w15:chartTrackingRefBased/>
  <w15:docId w15:val="{86F0EFF7-C8DE-4CFD-AC01-DEECA444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E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E6D"/>
    <w:rPr>
      <w:color w:val="0000FF"/>
      <w:u w:val="single"/>
    </w:rPr>
  </w:style>
  <w:style w:type="character" w:styleId="CommentReference">
    <w:name w:val="annotation reference"/>
    <w:basedOn w:val="DefaultParagraphFont"/>
    <w:uiPriority w:val="99"/>
    <w:semiHidden/>
    <w:unhideWhenUsed/>
    <w:rsid w:val="00F04028"/>
    <w:rPr>
      <w:sz w:val="16"/>
      <w:szCs w:val="16"/>
    </w:rPr>
  </w:style>
  <w:style w:type="paragraph" w:styleId="CommentText">
    <w:name w:val="annotation text"/>
    <w:basedOn w:val="Normal"/>
    <w:link w:val="CommentTextChar"/>
    <w:uiPriority w:val="99"/>
    <w:semiHidden/>
    <w:unhideWhenUsed/>
    <w:rsid w:val="00F04028"/>
    <w:pPr>
      <w:spacing w:line="240" w:lineRule="auto"/>
    </w:pPr>
    <w:rPr>
      <w:sz w:val="20"/>
      <w:szCs w:val="20"/>
    </w:rPr>
  </w:style>
  <w:style w:type="character" w:customStyle="1" w:styleId="CommentTextChar">
    <w:name w:val="Comment Text Char"/>
    <w:basedOn w:val="DefaultParagraphFont"/>
    <w:link w:val="CommentText"/>
    <w:uiPriority w:val="99"/>
    <w:semiHidden/>
    <w:rsid w:val="00F04028"/>
    <w:rPr>
      <w:sz w:val="20"/>
      <w:szCs w:val="20"/>
    </w:rPr>
  </w:style>
  <w:style w:type="paragraph" w:styleId="CommentSubject">
    <w:name w:val="annotation subject"/>
    <w:basedOn w:val="CommentText"/>
    <w:next w:val="CommentText"/>
    <w:link w:val="CommentSubjectChar"/>
    <w:uiPriority w:val="99"/>
    <w:semiHidden/>
    <w:unhideWhenUsed/>
    <w:rsid w:val="00F04028"/>
    <w:rPr>
      <w:b/>
      <w:bCs/>
    </w:rPr>
  </w:style>
  <w:style w:type="character" w:customStyle="1" w:styleId="CommentSubjectChar">
    <w:name w:val="Comment Subject Char"/>
    <w:basedOn w:val="CommentTextChar"/>
    <w:link w:val="CommentSubject"/>
    <w:uiPriority w:val="99"/>
    <w:semiHidden/>
    <w:rsid w:val="00F04028"/>
    <w:rPr>
      <w:b/>
      <w:bCs/>
      <w:sz w:val="20"/>
      <w:szCs w:val="20"/>
    </w:rPr>
  </w:style>
  <w:style w:type="paragraph" w:styleId="BalloonText">
    <w:name w:val="Balloon Text"/>
    <w:basedOn w:val="Normal"/>
    <w:link w:val="BalloonTextChar"/>
    <w:uiPriority w:val="99"/>
    <w:semiHidden/>
    <w:unhideWhenUsed/>
    <w:rsid w:val="00F0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28"/>
    <w:rPr>
      <w:rFonts w:ascii="Segoe UI" w:hAnsi="Segoe UI" w:cs="Segoe UI"/>
      <w:sz w:val="18"/>
      <w:szCs w:val="18"/>
    </w:rPr>
  </w:style>
  <w:style w:type="character" w:styleId="UnresolvedMention">
    <w:name w:val="Unresolved Mention"/>
    <w:basedOn w:val="DefaultParagraphFont"/>
    <w:uiPriority w:val="99"/>
    <w:semiHidden/>
    <w:unhideWhenUsed/>
    <w:rsid w:val="00F16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2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statutes/titles-i-and-v-americans-disabilities-act-1990-ada" TargetMode="External"/><Relationship Id="rId13" Type="http://schemas.openxmlformats.org/officeDocument/2006/relationships/hyperlink" Target="https://www.eeoc.gov/statutes/equal-pay-act-1963" TargetMode="External"/><Relationship Id="rId3" Type="http://schemas.openxmlformats.org/officeDocument/2006/relationships/settings" Target="settings.xml"/><Relationship Id="rId7" Type="http://schemas.openxmlformats.org/officeDocument/2006/relationships/hyperlink" Target="https://www.eeoc.gov/statutes/title-vii-civil-rights-act-1964" TargetMode="External"/><Relationship Id="rId12" Type="http://schemas.openxmlformats.org/officeDocument/2006/relationships/hyperlink" Target="https://depts.washington.edu/yourvoice/documents/uwseattle_finalreport_grayscal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eoc.gov/statutes/equal-pay-act-1963" TargetMode="External"/><Relationship Id="rId11" Type="http://schemas.openxmlformats.org/officeDocument/2006/relationships/hyperlink" Target="https://www.washington.edu/raceequity/" TargetMode="External"/><Relationship Id="rId5" Type="http://schemas.openxmlformats.org/officeDocument/2006/relationships/hyperlink" Target="https://hr.uw.edu/coronavirus/caring-for-self-and-family/child-care/uw-child-care-connections/" TargetMode="External"/><Relationship Id="rId15" Type="http://schemas.openxmlformats.org/officeDocument/2006/relationships/hyperlink" Target="https://www.eeoc.gov/statutes/titles-i-and-v-americans-disabilities-act-1990-ada" TargetMode="External"/><Relationship Id="rId10" Type="http://schemas.openxmlformats.org/officeDocument/2006/relationships/hyperlink" Target="https://www.nytimes.com/2020/10/13/us/princeton-female-professors-backpay-discrimination-lawsuit.html" TargetMode="External"/><Relationship Id="rId4" Type="http://schemas.openxmlformats.org/officeDocument/2006/relationships/webSettings" Target="webSettings.xml"/><Relationship Id="rId9" Type="http://schemas.openxmlformats.org/officeDocument/2006/relationships/hyperlink" Target="http://www.hbs.edu/faculty/product/15861" TargetMode="External"/><Relationship Id="rId14" Type="http://schemas.openxmlformats.org/officeDocument/2006/relationships/hyperlink" Target="https://www.eeoc.gov/statutes/title-vii-civil-rights-act-1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Umphress</dc:creator>
  <cp:keywords/>
  <dc:description/>
  <cp:lastModifiedBy>Elizabeth Umphress</cp:lastModifiedBy>
  <cp:revision>2</cp:revision>
  <dcterms:created xsi:type="dcterms:W3CDTF">2020-11-04T22:56:00Z</dcterms:created>
  <dcterms:modified xsi:type="dcterms:W3CDTF">2020-11-04T22:56:00Z</dcterms:modified>
</cp:coreProperties>
</file>