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2" w:rsidRDefault="00DC3E82">
      <w:pPr>
        <w:rPr>
          <w:b/>
        </w:rPr>
      </w:pPr>
      <w:bookmarkStart w:id="0" w:name="_GoBack"/>
      <w:bookmarkEnd w:id="0"/>
      <w:r>
        <w:rPr>
          <w:b/>
        </w:rPr>
        <w:t>Journal Club, Jan 5th</w:t>
      </w:r>
    </w:p>
    <w:p w:rsidR="00456AF5" w:rsidRPr="00DC3E82" w:rsidRDefault="00DC3E82">
      <w:r w:rsidRPr="00DC3E82">
        <w:rPr>
          <w:b/>
        </w:rPr>
        <w:t>Article:</w:t>
      </w:r>
      <w:r>
        <w:t xml:space="preserve">  </w:t>
      </w:r>
      <w:r w:rsidR="008804DD" w:rsidRPr="008804DD">
        <w:rPr>
          <w:rFonts w:ascii="Calibri" w:hAnsi="Calibri"/>
          <w:bCs/>
          <w:shd w:val="clear" w:color="auto" w:fill="FFFFFF"/>
        </w:rPr>
        <w:t>Shah, S.S. Srivastava R., Wu, S. et al. Intravenous Versus Oral Antibiotics for Postdischarge Treatment of Complicated Pneumonia. Pediatrics. 2016; 138(6):e20161692.</w:t>
      </w:r>
    </w:p>
    <w:p w:rsidR="008804DD" w:rsidRDefault="008804DD">
      <w:pPr>
        <w:rPr>
          <w:rFonts w:ascii="Calibri" w:hAnsi="Calibri"/>
          <w:bCs/>
          <w:shd w:val="clear" w:color="auto" w:fill="FFFFFF"/>
        </w:rPr>
      </w:pPr>
      <w:r w:rsidRPr="00DC3E82">
        <w:rPr>
          <w:rFonts w:ascii="Calibri" w:hAnsi="Calibri"/>
          <w:b/>
          <w:bCs/>
          <w:shd w:val="clear" w:color="auto" w:fill="FFFFFF"/>
        </w:rPr>
        <w:t>Study description:</w:t>
      </w:r>
      <w:r>
        <w:rPr>
          <w:rFonts w:ascii="Calibri" w:hAnsi="Calibri"/>
          <w:bCs/>
          <w:shd w:val="clear" w:color="auto" w:fill="FFFFFF"/>
        </w:rPr>
        <w:t xml:space="preserve"> Multice</w:t>
      </w:r>
      <w:r w:rsidR="00DC3E82">
        <w:rPr>
          <w:rFonts w:ascii="Calibri" w:hAnsi="Calibri"/>
          <w:bCs/>
          <w:shd w:val="clear" w:color="auto" w:fill="FFFFFF"/>
        </w:rPr>
        <w:t>nter, retrospective</w:t>
      </w:r>
      <w:r w:rsidR="005D3B86">
        <w:rPr>
          <w:rFonts w:ascii="Calibri" w:hAnsi="Calibri"/>
          <w:bCs/>
          <w:shd w:val="clear" w:color="auto" w:fill="FFFFFF"/>
        </w:rPr>
        <w:t>,</w:t>
      </w:r>
      <w:r w:rsidR="00DC3E82">
        <w:rPr>
          <w:rFonts w:ascii="Calibri" w:hAnsi="Calibri"/>
          <w:bCs/>
          <w:shd w:val="clear" w:color="auto" w:fill="FFFFFF"/>
        </w:rPr>
        <w:t xml:space="preserve"> </w:t>
      </w:r>
      <w:r w:rsidR="005D3B86">
        <w:rPr>
          <w:rFonts w:ascii="Calibri" w:hAnsi="Calibri"/>
          <w:bCs/>
          <w:shd w:val="clear" w:color="auto" w:fill="FFFFFF"/>
        </w:rPr>
        <w:t xml:space="preserve">observational </w:t>
      </w:r>
      <w:r w:rsidR="00DC3E82">
        <w:rPr>
          <w:rFonts w:ascii="Calibri" w:hAnsi="Calibri"/>
          <w:bCs/>
          <w:shd w:val="clear" w:color="auto" w:fill="FFFFFF"/>
        </w:rPr>
        <w:t xml:space="preserve">cohort study to answer the question of </w:t>
      </w:r>
      <w:r w:rsidR="005D3B86">
        <w:rPr>
          <w:rFonts w:ascii="Calibri" w:hAnsi="Calibri"/>
          <w:bCs/>
          <w:shd w:val="clear" w:color="auto" w:fill="FFFFFF"/>
        </w:rPr>
        <w:t xml:space="preserve">whether the </w:t>
      </w:r>
      <w:r w:rsidR="00DC3E82">
        <w:rPr>
          <w:rFonts w:ascii="Calibri" w:hAnsi="Calibri"/>
          <w:bCs/>
          <w:shd w:val="clear" w:color="auto" w:fill="FFFFFF"/>
        </w:rPr>
        <w:t xml:space="preserve">route of antibiotic </w:t>
      </w:r>
      <w:r w:rsidR="005D3B86">
        <w:rPr>
          <w:rFonts w:ascii="Calibri" w:hAnsi="Calibri"/>
          <w:bCs/>
          <w:shd w:val="clear" w:color="auto" w:fill="FFFFFF"/>
        </w:rPr>
        <w:t xml:space="preserve">therapy </w:t>
      </w:r>
      <w:r w:rsidR="00DC3E82">
        <w:rPr>
          <w:rFonts w:ascii="Calibri" w:hAnsi="Calibri"/>
          <w:bCs/>
          <w:shd w:val="clear" w:color="auto" w:fill="FFFFFF"/>
        </w:rPr>
        <w:t>for complicated pneumonia, defined as pneumonia with effusion or empyema</w:t>
      </w:r>
      <w:r w:rsidR="008A2F8C">
        <w:rPr>
          <w:rFonts w:ascii="Calibri" w:hAnsi="Calibri"/>
          <w:bCs/>
          <w:shd w:val="clear" w:color="auto" w:fill="FFFFFF"/>
        </w:rPr>
        <w:t>, effects treatment failure rates</w:t>
      </w:r>
      <w:r w:rsidR="005D3B86">
        <w:rPr>
          <w:rFonts w:ascii="Calibri" w:hAnsi="Calibri"/>
          <w:bCs/>
          <w:shd w:val="clear" w:color="auto" w:fill="FFFFFF"/>
        </w:rPr>
        <w:t>.</w:t>
      </w:r>
    </w:p>
    <w:p w:rsidR="008804DD" w:rsidRDefault="008804DD">
      <w:pPr>
        <w:rPr>
          <w:rFonts w:ascii="Calibri" w:hAnsi="Calibri"/>
          <w:bCs/>
          <w:shd w:val="clear" w:color="auto" w:fill="FFFFFF"/>
        </w:rPr>
      </w:pPr>
      <w:r w:rsidRPr="00DC3E82">
        <w:rPr>
          <w:rFonts w:ascii="Calibri" w:hAnsi="Calibri"/>
          <w:b/>
          <w:bCs/>
          <w:shd w:val="clear" w:color="auto" w:fill="FFFFFF"/>
        </w:rPr>
        <w:t>Population:</w:t>
      </w:r>
      <w:r>
        <w:rPr>
          <w:rFonts w:ascii="Calibri" w:hAnsi="Calibri"/>
          <w:bCs/>
          <w:shd w:val="clear" w:color="auto" w:fill="FFFFFF"/>
        </w:rPr>
        <w:t xml:space="preserve"> </w:t>
      </w:r>
      <w:r w:rsidR="00DC3E82">
        <w:rPr>
          <w:rFonts w:ascii="Calibri" w:hAnsi="Calibri"/>
          <w:bCs/>
          <w:shd w:val="clear" w:color="auto" w:fill="FFFFFF"/>
        </w:rPr>
        <w:t xml:space="preserve">2,123 </w:t>
      </w:r>
      <w:r>
        <w:rPr>
          <w:rFonts w:ascii="Calibri" w:hAnsi="Calibri"/>
          <w:bCs/>
          <w:shd w:val="clear" w:color="auto" w:fill="FFFFFF"/>
        </w:rPr>
        <w:t xml:space="preserve">children </w:t>
      </w:r>
      <w:r w:rsidR="005D3B86">
        <w:rPr>
          <w:rFonts w:ascii="Calibri" w:hAnsi="Calibri"/>
          <w:bCs/>
          <w:shd w:val="clear" w:color="auto" w:fill="FFFFFF"/>
        </w:rPr>
        <w:t>ages</w:t>
      </w:r>
      <w:r w:rsidR="00DC3E82">
        <w:rPr>
          <w:rFonts w:ascii="Calibri" w:hAnsi="Calibri"/>
          <w:bCs/>
          <w:shd w:val="clear" w:color="auto" w:fill="FFFFFF"/>
        </w:rPr>
        <w:t xml:space="preserve"> </w:t>
      </w:r>
      <w:r>
        <w:rPr>
          <w:rFonts w:ascii="Calibri" w:hAnsi="Calibri"/>
          <w:bCs/>
          <w:shd w:val="clear" w:color="auto" w:fill="FFFFFF"/>
        </w:rPr>
        <w:t xml:space="preserve">≥ 2 months and &lt; 18 years admitted during 3-yr period </w:t>
      </w:r>
      <w:r w:rsidR="00DC3E82">
        <w:rPr>
          <w:rFonts w:ascii="Calibri" w:hAnsi="Calibri"/>
          <w:bCs/>
          <w:shd w:val="clear" w:color="auto" w:fill="FFFFFF"/>
        </w:rPr>
        <w:t xml:space="preserve">to 36 different children’s hospitals. Median age was 5 yrs. </w:t>
      </w:r>
      <w:r w:rsidR="005D3B86">
        <w:rPr>
          <w:rFonts w:ascii="Calibri" w:hAnsi="Calibri"/>
          <w:bCs/>
          <w:shd w:val="clear" w:color="auto" w:fill="FFFFFF"/>
        </w:rPr>
        <w:t xml:space="preserve">Reasons for exclusion: </w:t>
      </w:r>
      <w:r w:rsidR="00DC3E82">
        <w:rPr>
          <w:rFonts w:ascii="Calibri" w:hAnsi="Calibri"/>
          <w:bCs/>
          <w:shd w:val="clear" w:color="auto" w:fill="FFFFFF"/>
        </w:rPr>
        <w:t xml:space="preserve">chronic conditions, not admitted through the ED, did not receive antibiotics on first day of hospitalization, </w:t>
      </w:r>
      <w:r w:rsidR="005D3B86">
        <w:rPr>
          <w:rFonts w:ascii="Calibri" w:hAnsi="Calibri"/>
          <w:bCs/>
          <w:shd w:val="clear" w:color="auto" w:fill="FFFFFF"/>
        </w:rPr>
        <w:t xml:space="preserve">had </w:t>
      </w:r>
      <w:r w:rsidR="00DC3E82">
        <w:rPr>
          <w:rFonts w:ascii="Calibri" w:hAnsi="Calibri"/>
          <w:bCs/>
          <w:shd w:val="clear" w:color="auto" w:fill="FFFFFF"/>
        </w:rPr>
        <w:t>short (&lt;4 days) or</w:t>
      </w:r>
      <w:r w:rsidR="005D3B86">
        <w:rPr>
          <w:rFonts w:ascii="Calibri" w:hAnsi="Calibri"/>
          <w:bCs/>
          <w:shd w:val="clear" w:color="auto" w:fill="FFFFFF"/>
        </w:rPr>
        <w:t xml:space="preserve"> longer (&gt;14 days) of stay, or </w:t>
      </w:r>
      <w:r w:rsidR="00DC3E82">
        <w:rPr>
          <w:rFonts w:ascii="Calibri" w:hAnsi="Calibri"/>
          <w:bCs/>
          <w:shd w:val="clear" w:color="auto" w:fill="FFFFFF"/>
        </w:rPr>
        <w:t xml:space="preserve">transferred to another hospital </w:t>
      </w:r>
      <w:r w:rsidR="005D3B86">
        <w:rPr>
          <w:rFonts w:ascii="Calibri" w:hAnsi="Calibri"/>
          <w:bCs/>
          <w:shd w:val="clear" w:color="auto" w:fill="FFFFFF"/>
        </w:rPr>
        <w:t>or expired</w:t>
      </w:r>
      <w:r w:rsidR="00DC3E82">
        <w:rPr>
          <w:rFonts w:ascii="Calibri" w:hAnsi="Calibri"/>
          <w:bCs/>
          <w:shd w:val="clear" w:color="auto" w:fill="FFFFFF"/>
        </w:rPr>
        <w:t>.</w:t>
      </w:r>
    </w:p>
    <w:p w:rsidR="00DC3E82" w:rsidRDefault="005D3B86">
      <w:pPr>
        <w:rPr>
          <w:rFonts w:ascii="Calibri" w:hAnsi="Calibri"/>
          <w:bCs/>
          <w:shd w:val="clear" w:color="auto" w:fill="FFFFFF"/>
        </w:rPr>
      </w:pPr>
      <w:r w:rsidRPr="005D3B86">
        <w:rPr>
          <w:rFonts w:ascii="Calibri" w:hAnsi="Calibri"/>
          <w:b/>
          <w:bCs/>
          <w:shd w:val="clear" w:color="auto" w:fill="FFFFFF"/>
        </w:rPr>
        <w:t>Main exposure</w:t>
      </w:r>
      <w:r w:rsidR="00DC3E82" w:rsidRPr="005D3B86">
        <w:rPr>
          <w:rFonts w:ascii="Calibri" w:hAnsi="Calibri"/>
          <w:b/>
          <w:bCs/>
          <w:shd w:val="clear" w:color="auto" w:fill="FFFFFF"/>
        </w:rPr>
        <w:t>:</w:t>
      </w:r>
      <w:r w:rsidR="00DC3E82">
        <w:rPr>
          <w:rFonts w:ascii="Calibri" w:hAnsi="Calibri"/>
          <w:bCs/>
          <w:shd w:val="clear" w:color="auto" w:fill="FFFFFF"/>
        </w:rPr>
        <w:t xml:space="preserve"> Oral</w:t>
      </w:r>
      <w:r>
        <w:rPr>
          <w:rFonts w:ascii="Calibri" w:hAnsi="Calibri"/>
          <w:bCs/>
          <w:shd w:val="clear" w:color="auto" w:fill="FFFFFF"/>
        </w:rPr>
        <w:t xml:space="preserve"> antibiotics</w:t>
      </w:r>
      <w:r w:rsidR="00DC3E82">
        <w:rPr>
          <w:rFonts w:ascii="Calibri" w:hAnsi="Calibri"/>
          <w:bCs/>
          <w:shd w:val="clear" w:color="auto" w:fill="FFFFFF"/>
        </w:rPr>
        <w:t xml:space="preserve"> versus outpatient parental antibiotic therapy (OPAT)</w:t>
      </w:r>
      <w:r>
        <w:rPr>
          <w:rFonts w:ascii="Calibri" w:hAnsi="Calibri"/>
          <w:bCs/>
          <w:shd w:val="clear" w:color="auto" w:fill="FFFFFF"/>
        </w:rPr>
        <w:t xml:space="preserve"> via PICC</w:t>
      </w:r>
    </w:p>
    <w:p w:rsidR="005D3B86" w:rsidRDefault="005D3B86">
      <w:pPr>
        <w:rPr>
          <w:rFonts w:ascii="Calibri" w:hAnsi="Calibri"/>
          <w:bCs/>
          <w:shd w:val="clear" w:color="auto" w:fill="FFFFFF"/>
        </w:rPr>
      </w:pPr>
      <w:r>
        <w:rPr>
          <w:rFonts w:ascii="Calibri" w:hAnsi="Calibri"/>
          <w:b/>
          <w:bCs/>
          <w:shd w:val="clear" w:color="auto" w:fill="FFFFFF"/>
        </w:rPr>
        <w:t>Main outcome measure</w:t>
      </w:r>
      <w:r w:rsidRPr="005D3B86">
        <w:rPr>
          <w:rFonts w:ascii="Calibri" w:hAnsi="Calibri"/>
          <w:b/>
          <w:bCs/>
          <w:shd w:val="clear" w:color="auto" w:fill="FFFFFF"/>
        </w:rPr>
        <w:t>:</w:t>
      </w:r>
      <w:r>
        <w:rPr>
          <w:rFonts w:ascii="Calibri" w:hAnsi="Calibri"/>
          <w:bCs/>
          <w:shd w:val="clear" w:color="auto" w:fill="FFFFFF"/>
        </w:rPr>
        <w:t xml:space="preserve"> Treatment failure, defined as ED revisit or rehospitalization that required changed in antibiotic regimen (duration, route, dose, or drug) or need for pleural drainage</w:t>
      </w:r>
    </w:p>
    <w:p w:rsidR="005D3B86" w:rsidRDefault="005D3B86">
      <w:pPr>
        <w:rPr>
          <w:rFonts w:ascii="Calibri" w:hAnsi="Calibri"/>
          <w:bCs/>
          <w:shd w:val="clear" w:color="auto" w:fill="FFFFFF"/>
        </w:rPr>
      </w:pPr>
      <w:r w:rsidRPr="005D3B86">
        <w:rPr>
          <w:rFonts w:ascii="Calibri" w:hAnsi="Calibri"/>
          <w:b/>
          <w:bCs/>
          <w:shd w:val="clear" w:color="auto" w:fill="FFFFFF"/>
        </w:rPr>
        <w:t>Secondary outcome measure</w:t>
      </w:r>
      <w:r>
        <w:rPr>
          <w:rFonts w:ascii="Calibri" w:hAnsi="Calibri"/>
          <w:b/>
          <w:bCs/>
          <w:shd w:val="clear" w:color="auto" w:fill="FFFFFF"/>
        </w:rPr>
        <w:t>s</w:t>
      </w:r>
      <w:r w:rsidRPr="005D3B86">
        <w:rPr>
          <w:rFonts w:ascii="Calibri" w:hAnsi="Calibri"/>
          <w:b/>
          <w:bCs/>
          <w:shd w:val="clear" w:color="auto" w:fill="FFFFFF"/>
        </w:rPr>
        <w:t>:</w:t>
      </w:r>
      <w:r w:rsidR="00D52A3D">
        <w:rPr>
          <w:rFonts w:ascii="Calibri" w:hAnsi="Calibri"/>
          <w:bCs/>
          <w:shd w:val="clear" w:color="auto" w:fill="FFFFFF"/>
        </w:rPr>
        <w:t xml:space="preserve"> (1) PICC complications; (2) adverse drug reactions;</w:t>
      </w:r>
      <w:r>
        <w:rPr>
          <w:rFonts w:ascii="Calibri" w:hAnsi="Calibri"/>
          <w:bCs/>
          <w:shd w:val="clear" w:color="auto" w:fill="FFFFFF"/>
        </w:rPr>
        <w:t xml:space="preserve"> (3) ED visits or rehospitalizations not </w:t>
      </w:r>
      <w:r w:rsidR="00D52A3D">
        <w:rPr>
          <w:rFonts w:ascii="Calibri" w:hAnsi="Calibri"/>
          <w:bCs/>
          <w:shd w:val="clear" w:color="auto" w:fill="FFFFFF"/>
        </w:rPr>
        <w:t>classified as treatment failure;</w:t>
      </w:r>
      <w:r>
        <w:rPr>
          <w:rFonts w:ascii="Calibri" w:hAnsi="Calibri"/>
          <w:bCs/>
          <w:shd w:val="clear" w:color="auto" w:fill="FFFFFF"/>
        </w:rPr>
        <w:t xml:space="preserve"> </w:t>
      </w:r>
      <w:r w:rsidR="00D52A3D">
        <w:rPr>
          <w:rFonts w:ascii="Calibri" w:hAnsi="Calibri"/>
          <w:bCs/>
          <w:shd w:val="clear" w:color="auto" w:fill="FFFFFF"/>
        </w:rPr>
        <w:t xml:space="preserve">or </w:t>
      </w:r>
      <w:r>
        <w:rPr>
          <w:rFonts w:ascii="Calibri" w:hAnsi="Calibri"/>
          <w:bCs/>
          <w:shd w:val="clear" w:color="auto" w:fill="FFFFFF"/>
        </w:rPr>
        <w:t>(4) composite of aforementioned three measures</w:t>
      </w:r>
    </w:p>
    <w:p w:rsidR="008A2F8C" w:rsidRDefault="008A2F8C">
      <w:pPr>
        <w:rPr>
          <w:rFonts w:ascii="Calibri" w:hAnsi="Calibri"/>
          <w:bCs/>
          <w:shd w:val="clear" w:color="auto" w:fill="FFFFFF"/>
        </w:rPr>
      </w:pPr>
      <w:r w:rsidRPr="008A2F8C">
        <w:rPr>
          <w:rFonts w:ascii="Calibri" w:hAnsi="Calibri"/>
          <w:b/>
          <w:bCs/>
          <w:shd w:val="clear" w:color="auto" w:fill="FFFFFF"/>
        </w:rPr>
        <w:t>Statistical method:</w:t>
      </w:r>
      <w:r>
        <w:rPr>
          <w:rFonts w:ascii="Calibri" w:hAnsi="Calibri"/>
          <w:bCs/>
          <w:shd w:val="clear" w:color="auto" w:fill="FFFFFF"/>
        </w:rPr>
        <w:t xml:space="preserve"> Full matching of patient-level covariates across hospitals based on propensity scores to limit confounding variables. Data ultimately presented as </w:t>
      </w:r>
      <w:r w:rsidR="0071330D">
        <w:rPr>
          <w:rFonts w:ascii="Calibri" w:hAnsi="Calibri"/>
          <w:bCs/>
          <w:shd w:val="clear" w:color="auto" w:fill="FFFFFF"/>
        </w:rPr>
        <w:t xml:space="preserve">matched </w:t>
      </w:r>
      <w:r>
        <w:rPr>
          <w:rFonts w:ascii="Calibri" w:hAnsi="Calibri"/>
          <w:bCs/>
          <w:shd w:val="clear" w:color="auto" w:fill="FFFFFF"/>
        </w:rPr>
        <w:t>odds ratio.</w:t>
      </w:r>
    </w:p>
    <w:p w:rsidR="008A2F8C" w:rsidRPr="0071330D" w:rsidRDefault="0071330D">
      <w:pPr>
        <w:rPr>
          <w:rFonts w:ascii="Calibri" w:hAnsi="Calibri"/>
          <w:b/>
          <w:bCs/>
          <w:shd w:val="clear" w:color="auto" w:fill="FFFFFF"/>
        </w:rPr>
      </w:pPr>
      <w:r w:rsidRPr="0071330D">
        <w:rPr>
          <w:rFonts w:ascii="Calibri" w:hAnsi="Calibri"/>
          <w:b/>
          <w:bCs/>
          <w:shd w:val="clear" w:color="auto" w:fill="FFFFFF"/>
        </w:rPr>
        <w:t>Descriptive and analytical r</w:t>
      </w:r>
      <w:r w:rsidR="008A2F8C" w:rsidRPr="0071330D">
        <w:rPr>
          <w:rFonts w:ascii="Calibri" w:hAnsi="Calibri"/>
          <w:b/>
          <w:bCs/>
          <w:shd w:val="clear" w:color="auto" w:fill="FFFFFF"/>
        </w:rPr>
        <w:t>esults:</w:t>
      </w:r>
    </w:p>
    <w:p w:rsidR="00D52A3D" w:rsidRDefault="00D52A3D" w:rsidP="00D52A3D">
      <w:pPr>
        <w:pStyle w:val="ListParagraph"/>
        <w:numPr>
          <w:ilvl w:val="0"/>
          <w:numId w:val="1"/>
        </w:numPr>
        <w:rPr>
          <w:rFonts w:ascii="Calibri" w:hAnsi="Calibri"/>
          <w:bCs/>
          <w:shd w:val="clear" w:color="auto" w:fill="FFFFFF"/>
        </w:rPr>
      </w:pPr>
      <w:r w:rsidRPr="00D52A3D">
        <w:rPr>
          <w:rFonts w:ascii="Calibri" w:hAnsi="Calibri"/>
          <w:bCs/>
          <w:shd w:val="clear" w:color="auto" w:fill="FFFFFF"/>
        </w:rPr>
        <w:t xml:space="preserve">Microbiology: culture </w:t>
      </w:r>
      <w:r w:rsidR="0071330D">
        <w:rPr>
          <w:rFonts w:ascii="Calibri" w:hAnsi="Calibri"/>
          <w:bCs/>
          <w:shd w:val="clear" w:color="auto" w:fill="FFFFFF"/>
        </w:rPr>
        <w:t>positive pathogen identified</w:t>
      </w:r>
      <w:r w:rsidRPr="00D52A3D">
        <w:rPr>
          <w:rFonts w:ascii="Calibri" w:hAnsi="Calibri"/>
          <w:bCs/>
          <w:shd w:val="clear" w:color="auto" w:fill="FFFFFF"/>
        </w:rPr>
        <w:t xml:space="preserve"> only 14%; common pathogens: </w:t>
      </w:r>
      <w:r w:rsidRPr="0071330D">
        <w:rPr>
          <w:rFonts w:ascii="Calibri" w:hAnsi="Calibri"/>
          <w:bCs/>
          <w:i/>
          <w:shd w:val="clear" w:color="auto" w:fill="FFFFFF"/>
        </w:rPr>
        <w:t>Strep pneumo</w:t>
      </w:r>
      <w:r w:rsidR="0071330D">
        <w:rPr>
          <w:rFonts w:ascii="Calibri" w:hAnsi="Calibri"/>
          <w:bCs/>
          <w:i/>
          <w:shd w:val="clear" w:color="auto" w:fill="FFFFFF"/>
        </w:rPr>
        <w:t>niae</w:t>
      </w:r>
      <w:r w:rsidRPr="00D52A3D">
        <w:rPr>
          <w:rFonts w:ascii="Calibri" w:hAnsi="Calibri"/>
          <w:bCs/>
          <w:shd w:val="clear" w:color="auto" w:fill="FFFFFF"/>
        </w:rPr>
        <w:t xml:space="preserve">, </w:t>
      </w:r>
      <w:r w:rsidRPr="0071330D">
        <w:rPr>
          <w:rFonts w:ascii="Calibri" w:hAnsi="Calibri"/>
          <w:bCs/>
          <w:i/>
          <w:shd w:val="clear" w:color="auto" w:fill="FFFFFF"/>
        </w:rPr>
        <w:t>Staph aureus</w:t>
      </w:r>
      <w:r w:rsidRPr="00D52A3D">
        <w:rPr>
          <w:rFonts w:ascii="Calibri" w:hAnsi="Calibri"/>
          <w:bCs/>
          <w:shd w:val="clear" w:color="auto" w:fill="FFFFFF"/>
        </w:rPr>
        <w:t xml:space="preserve"> (73% MRSA)</w:t>
      </w:r>
      <w:r w:rsidR="0071330D">
        <w:rPr>
          <w:rFonts w:ascii="Calibri" w:hAnsi="Calibri"/>
          <w:bCs/>
          <w:shd w:val="clear" w:color="auto" w:fill="FFFFFF"/>
        </w:rPr>
        <w:t xml:space="preserve">, </w:t>
      </w:r>
      <w:r w:rsidR="0071330D" w:rsidRPr="0071330D">
        <w:rPr>
          <w:rFonts w:ascii="Calibri" w:hAnsi="Calibri"/>
          <w:bCs/>
          <w:i/>
          <w:shd w:val="clear" w:color="auto" w:fill="FFFFFF"/>
        </w:rPr>
        <w:t>Strep pyogenes</w:t>
      </w:r>
      <w:r w:rsidRPr="00D52A3D">
        <w:rPr>
          <w:rFonts w:ascii="Calibri" w:hAnsi="Calibri"/>
          <w:bCs/>
          <w:shd w:val="clear" w:color="auto" w:fill="FFFFFF"/>
        </w:rPr>
        <w:t xml:space="preserve">, </w:t>
      </w:r>
      <w:r w:rsidRPr="0071330D">
        <w:rPr>
          <w:rFonts w:ascii="Calibri" w:hAnsi="Calibri"/>
          <w:bCs/>
          <w:i/>
          <w:shd w:val="clear" w:color="auto" w:fill="FFFFFF"/>
        </w:rPr>
        <w:t>Strep milleri</w:t>
      </w:r>
    </w:p>
    <w:p w:rsidR="00D52A3D" w:rsidRDefault="00822E42" w:rsidP="00D52A3D">
      <w:pPr>
        <w:pStyle w:val="ListParagraph"/>
        <w:numPr>
          <w:ilvl w:val="0"/>
          <w:numId w:val="1"/>
        </w:numPr>
        <w:rPr>
          <w:rFonts w:ascii="Calibri" w:hAnsi="Calibri"/>
          <w:bCs/>
          <w:shd w:val="clear" w:color="auto" w:fill="FFFFFF"/>
        </w:rPr>
      </w:pPr>
      <w:r>
        <w:rPr>
          <w:rFonts w:ascii="Calibri" w:hAnsi="Calibri"/>
          <w:bCs/>
          <w:shd w:val="clear" w:color="auto" w:fill="FFFFFF"/>
        </w:rPr>
        <w:t>Route of antibiotics: 281 children (13%) received OPAT</w:t>
      </w:r>
    </w:p>
    <w:p w:rsidR="00822E42" w:rsidRDefault="0071330D" w:rsidP="00D52A3D">
      <w:pPr>
        <w:pStyle w:val="ListParagraph"/>
        <w:numPr>
          <w:ilvl w:val="0"/>
          <w:numId w:val="1"/>
        </w:numPr>
        <w:rPr>
          <w:rFonts w:ascii="Calibri" w:hAnsi="Calibri"/>
          <w:bCs/>
          <w:shd w:val="clear" w:color="auto" w:fill="FFFFFF"/>
        </w:rPr>
      </w:pPr>
      <w:r>
        <w:rPr>
          <w:rFonts w:ascii="Calibri" w:hAnsi="Calibri"/>
          <w:bCs/>
          <w:shd w:val="clear" w:color="auto" w:fill="FFFFFF"/>
        </w:rPr>
        <w:t>Primary outcome: After matching, no</w:t>
      </w:r>
      <w:r w:rsidR="00822E42">
        <w:rPr>
          <w:rFonts w:ascii="Calibri" w:hAnsi="Calibri"/>
          <w:bCs/>
          <w:shd w:val="clear" w:color="auto" w:fill="FFFFFF"/>
        </w:rPr>
        <w:t xml:space="preserve"> significant difference in treatment failure rates (OR 1.26, p &gt; .2)</w:t>
      </w:r>
    </w:p>
    <w:p w:rsidR="0071330D" w:rsidRDefault="0071330D" w:rsidP="00D52A3D">
      <w:pPr>
        <w:pStyle w:val="ListParagraph"/>
        <w:numPr>
          <w:ilvl w:val="0"/>
          <w:numId w:val="1"/>
        </w:numPr>
        <w:rPr>
          <w:rFonts w:ascii="Calibri" w:hAnsi="Calibri"/>
          <w:bCs/>
          <w:shd w:val="clear" w:color="auto" w:fill="FFFFFF"/>
        </w:rPr>
      </w:pPr>
      <w:r>
        <w:rPr>
          <w:rFonts w:ascii="Calibri" w:hAnsi="Calibri"/>
          <w:bCs/>
          <w:shd w:val="clear" w:color="auto" w:fill="FFFFFF"/>
        </w:rPr>
        <w:t>Secondary outcomes:</w:t>
      </w:r>
    </w:p>
    <w:p w:rsidR="00822E42" w:rsidRDefault="00822E42" w:rsidP="0071330D">
      <w:pPr>
        <w:pStyle w:val="ListParagraph"/>
        <w:numPr>
          <w:ilvl w:val="1"/>
          <w:numId w:val="1"/>
        </w:numPr>
        <w:rPr>
          <w:rFonts w:ascii="Calibri" w:hAnsi="Calibri"/>
          <w:bCs/>
          <w:shd w:val="clear" w:color="auto" w:fill="FFFFFF"/>
        </w:rPr>
      </w:pPr>
      <w:r>
        <w:rPr>
          <w:rFonts w:ascii="Calibri" w:hAnsi="Calibri"/>
          <w:bCs/>
          <w:shd w:val="clear" w:color="auto" w:fill="FFFFFF"/>
        </w:rPr>
        <w:t>PICC complications occurred in 20 children (7%) – PICC thrombosis (11), breakage (4), insertion site cellulitis (1), fever evaluation</w:t>
      </w:r>
      <w:r w:rsidR="0071330D">
        <w:rPr>
          <w:rFonts w:ascii="Calibri" w:hAnsi="Calibri"/>
          <w:bCs/>
          <w:shd w:val="clear" w:color="auto" w:fill="FFFFFF"/>
        </w:rPr>
        <w:t xml:space="preserve"> (1); no reported CLABSI</w:t>
      </w:r>
      <w:r w:rsidR="00606B5F">
        <w:rPr>
          <w:rFonts w:ascii="Calibri" w:hAnsi="Calibri"/>
          <w:bCs/>
          <w:shd w:val="clear" w:color="auto" w:fill="FFFFFF"/>
        </w:rPr>
        <w:t xml:space="preserve"> events.</w:t>
      </w:r>
    </w:p>
    <w:p w:rsidR="00822E42" w:rsidRDefault="00822E42" w:rsidP="0071330D">
      <w:pPr>
        <w:pStyle w:val="ListParagraph"/>
        <w:numPr>
          <w:ilvl w:val="1"/>
          <w:numId w:val="1"/>
        </w:numPr>
        <w:rPr>
          <w:rFonts w:ascii="Calibri" w:hAnsi="Calibri"/>
          <w:bCs/>
          <w:shd w:val="clear" w:color="auto" w:fill="FFFFFF"/>
        </w:rPr>
      </w:pPr>
      <w:r>
        <w:rPr>
          <w:rFonts w:ascii="Calibri" w:hAnsi="Calibri"/>
          <w:bCs/>
          <w:shd w:val="clear" w:color="auto" w:fill="FFFFFF"/>
        </w:rPr>
        <w:t>Adverse drug reactions in 13 children (0.6%), significantly higher in OPAT (OR 19.1, p &lt;</w:t>
      </w:r>
      <w:r w:rsidR="0071330D">
        <w:rPr>
          <w:rFonts w:ascii="Calibri" w:hAnsi="Calibri"/>
          <w:bCs/>
          <w:shd w:val="clear" w:color="auto" w:fill="FFFFFF"/>
        </w:rPr>
        <w:t xml:space="preserve"> </w:t>
      </w:r>
      <w:r>
        <w:rPr>
          <w:rFonts w:ascii="Calibri" w:hAnsi="Calibri"/>
          <w:bCs/>
          <w:shd w:val="clear" w:color="auto" w:fill="FFFFFF"/>
        </w:rPr>
        <w:t>.001)</w:t>
      </w:r>
    </w:p>
    <w:p w:rsidR="00822E42" w:rsidRPr="00D52A3D" w:rsidRDefault="00822E42" w:rsidP="0071330D">
      <w:pPr>
        <w:pStyle w:val="ListParagraph"/>
        <w:numPr>
          <w:ilvl w:val="1"/>
          <w:numId w:val="1"/>
        </w:numPr>
        <w:rPr>
          <w:rFonts w:ascii="Calibri" w:hAnsi="Calibri"/>
          <w:bCs/>
          <w:shd w:val="clear" w:color="auto" w:fill="FFFFFF"/>
        </w:rPr>
      </w:pPr>
      <w:r>
        <w:rPr>
          <w:rFonts w:ascii="Calibri" w:hAnsi="Calibri"/>
          <w:bCs/>
          <w:shd w:val="clear" w:color="auto" w:fill="FFFFFF"/>
        </w:rPr>
        <w:t xml:space="preserve">OPAT had statistically higher rates of related follow up visits </w:t>
      </w:r>
      <w:r w:rsidR="0071330D">
        <w:rPr>
          <w:rFonts w:ascii="Calibri" w:hAnsi="Calibri"/>
          <w:bCs/>
          <w:shd w:val="clear" w:color="auto" w:fill="FFFFFF"/>
        </w:rPr>
        <w:t>(OR 4.71, p &lt; .001)</w:t>
      </w:r>
    </w:p>
    <w:p w:rsidR="005D3B86" w:rsidRDefault="008A2F8C">
      <w:pPr>
        <w:rPr>
          <w:rFonts w:ascii="Calibri" w:hAnsi="Calibri"/>
          <w:bCs/>
          <w:shd w:val="clear" w:color="auto" w:fill="FFFFFF"/>
        </w:rPr>
      </w:pPr>
      <w:r w:rsidRPr="00D52A3D">
        <w:rPr>
          <w:rFonts w:ascii="Calibri" w:hAnsi="Calibri"/>
          <w:b/>
          <w:bCs/>
          <w:shd w:val="clear" w:color="auto" w:fill="FFFFFF"/>
        </w:rPr>
        <w:t>Limitations:</w:t>
      </w:r>
      <w:r w:rsidR="00D52A3D">
        <w:rPr>
          <w:rFonts w:ascii="Calibri" w:hAnsi="Calibri"/>
          <w:bCs/>
          <w:shd w:val="clear" w:color="auto" w:fill="FFFFFF"/>
        </w:rPr>
        <w:t xml:space="preserve"> (1) observation study does not always account for illness severity; (2) hospital-level differences; (3) prescribed antibiotic may effect rates of adverse drug reactions, compliance, etc; (4) excluded primary care follow up visits; and (5) generalizability to the most fragile pediatric patients.</w:t>
      </w:r>
    </w:p>
    <w:p w:rsidR="008804DD" w:rsidRDefault="008804DD"/>
    <w:sectPr w:rsidR="0088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252"/>
    <w:multiLevelType w:val="hybridMultilevel"/>
    <w:tmpl w:val="2E0291CA"/>
    <w:lvl w:ilvl="0" w:tplc="D91C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76EA3"/>
    <w:multiLevelType w:val="hybridMultilevel"/>
    <w:tmpl w:val="2E0291CA"/>
    <w:lvl w:ilvl="0" w:tplc="D91C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DD"/>
    <w:rsid w:val="00456AF5"/>
    <w:rsid w:val="005D3B86"/>
    <w:rsid w:val="00606B5F"/>
    <w:rsid w:val="0071330D"/>
    <w:rsid w:val="00822E42"/>
    <w:rsid w:val="008804DD"/>
    <w:rsid w:val="008A2F8C"/>
    <w:rsid w:val="00D52A3D"/>
    <w:rsid w:val="00DC3E82"/>
    <w:rsid w:val="00F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Laura</dc:creator>
  <cp:lastModifiedBy>Rooholamini, Sahar</cp:lastModifiedBy>
  <cp:revision>2</cp:revision>
  <dcterms:created xsi:type="dcterms:W3CDTF">2017-01-05T19:54:00Z</dcterms:created>
  <dcterms:modified xsi:type="dcterms:W3CDTF">2017-01-05T19:54:00Z</dcterms:modified>
</cp:coreProperties>
</file>